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B32" w:rsidRPr="008354C2" w:rsidRDefault="00E41B32" w:rsidP="00E41B32">
      <w:pPr>
        <w:spacing w:after="160" w:line="259" w:lineRule="auto"/>
        <w:jc w:val="center"/>
        <w:rPr>
          <w:rFonts w:ascii="Times New Roman" w:eastAsia="Arial" w:hAnsi="Times New Roman" w:cs="Times New Roman"/>
          <w:b/>
          <w:sz w:val="36"/>
          <w:szCs w:val="36"/>
        </w:rPr>
      </w:pPr>
      <w:r w:rsidRPr="008354C2">
        <w:rPr>
          <w:rFonts w:ascii="Times New Roman" w:eastAsia="Arial" w:hAnsi="Times New Roman" w:cs="Times New Roman"/>
          <w:b/>
          <w:sz w:val="36"/>
          <w:szCs w:val="36"/>
        </w:rPr>
        <w:t xml:space="preserve">BỘ TÀI CHÍNH </w:t>
      </w: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32"/>
          <w:szCs w:val="32"/>
        </w:rPr>
      </w:pPr>
      <w:r w:rsidRPr="008354C2">
        <w:rPr>
          <w:rFonts w:ascii="Times New Roman" w:eastAsia="Arial" w:hAnsi="Times New Roman" w:cs="Times New Roman"/>
          <w:b/>
          <w:sz w:val="32"/>
          <w:szCs w:val="32"/>
        </w:rPr>
        <w:t xml:space="preserve">BẢN THUYẾT MINH LUẬT VỀ KINH DOANH BẢO HIỂM </w:t>
      </w:r>
    </w:p>
    <w:p w:rsidR="00E41B32" w:rsidRPr="008354C2" w:rsidRDefault="00E41B32" w:rsidP="00E41B32">
      <w:pPr>
        <w:spacing w:after="160" w:line="259" w:lineRule="auto"/>
        <w:jc w:val="center"/>
        <w:rPr>
          <w:rFonts w:ascii="Times New Roman" w:eastAsia="Arial" w:hAnsi="Times New Roman" w:cs="Times New Roman"/>
          <w:b/>
          <w:sz w:val="32"/>
          <w:szCs w:val="32"/>
        </w:rPr>
      </w:pPr>
      <w:r w:rsidRPr="008354C2">
        <w:rPr>
          <w:rFonts w:ascii="Times New Roman" w:eastAsia="Arial" w:hAnsi="Times New Roman" w:cs="Times New Roman"/>
          <w:b/>
          <w:sz w:val="32"/>
          <w:szCs w:val="32"/>
        </w:rPr>
        <w:t xml:space="preserve">VÀ THỊ TRƯỜNG BẢO HIỂM CỦA MỘT SỐ NƯỚC </w:t>
      </w: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8928C1" w:rsidRPr="008354C2" w:rsidRDefault="008928C1" w:rsidP="00E41B32">
      <w:pPr>
        <w:jc w:val="center"/>
        <w:rPr>
          <w:rFonts w:ascii="Times New Roman" w:eastAsia="Arial" w:hAnsi="Times New Roman" w:cs="Times New Roman"/>
          <w:i/>
          <w:sz w:val="28"/>
          <w:szCs w:val="28"/>
        </w:rPr>
      </w:pPr>
    </w:p>
    <w:p w:rsidR="0063121A" w:rsidRPr="008354C2" w:rsidRDefault="00E41B32" w:rsidP="00E41B32">
      <w:pPr>
        <w:jc w:val="center"/>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Hà Nội, tháng </w:t>
      </w:r>
      <w:r w:rsidR="00B428FD">
        <w:rPr>
          <w:rFonts w:ascii="Times New Roman" w:eastAsia="Arial" w:hAnsi="Times New Roman" w:cs="Times New Roman"/>
          <w:i/>
          <w:sz w:val="28"/>
          <w:szCs w:val="28"/>
        </w:rPr>
        <w:t>8</w:t>
      </w:r>
      <w:r w:rsidRPr="008354C2">
        <w:rPr>
          <w:rFonts w:ascii="Times New Roman" w:eastAsia="Arial" w:hAnsi="Times New Roman" w:cs="Times New Roman"/>
          <w:i/>
          <w:sz w:val="28"/>
          <w:szCs w:val="28"/>
        </w:rPr>
        <w:t xml:space="preserve"> năm 2021</w:t>
      </w:r>
    </w:p>
    <w:p w:rsidR="00E41B32" w:rsidRPr="008354C2" w:rsidRDefault="00E41B32" w:rsidP="00E41B32">
      <w:pPr>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lastRenderedPageBreak/>
        <w:t>MỤC LỤC</w:t>
      </w:r>
    </w:p>
    <w:tbl>
      <w:tblPr>
        <w:tblW w:w="9576" w:type="dxa"/>
        <w:tblLayout w:type="fixed"/>
        <w:tblLook w:val="04A0"/>
      </w:tblPr>
      <w:tblGrid>
        <w:gridCol w:w="8934"/>
        <w:gridCol w:w="642"/>
      </w:tblGrid>
      <w:tr w:rsidR="00CD1E71" w:rsidRPr="008354C2" w:rsidTr="000657D8">
        <w:tc>
          <w:tcPr>
            <w:tcW w:w="8934" w:type="dxa"/>
          </w:tcPr>
          <w:p w:rsidR="00CD1E71" w:rsidRPr="008354C2" w:rsidRDefault="00CD1E71" w:rsidP="008354C2">
            <w:pPr>
              <w:spacing w:before="120" w:after="0"/>
              <w:rPr>
                <w:rFonts w:ascii="Times New Roman" w:eastAsia="Calibri" w:hAnsi="Times New Roman" w:cs="Times New Roman"/>
                <w:b/>
                <w:sz w:val="28"/>
                <w:szCs w:val="28"/>
              </w:rPr>
            </w:pPr>
            <w:r w:rsidRPr="008354C2">
              <w:rPr>
                <w:rFonts w:ascii="Times New Roman" w:eastAsia="Calibri" w:hAnsi="Times New Roman" w:cs="Times New Roman"/>
                <w:b/>
                <w:sz w:val="28"/>
                <w:szCs w:val="28"/>
              </w:rPr>
              <w:t>PHẦN MỞ ĐẦU</w:t>
            </w:r>
            <w:r w:rsidRPr="008354C2">
              <w:rPr>
                <w:rFonts w:ascii="Times New Roman" w:eastAsia="Calibri" w:hAnsi="Times New Roman" w:cs="Times New Roman"/>
                <w:sz w:val="28"/>
                <w:szCs w:val="28"/>
              </w:rPr>
              <w:t>……………………………………………………………...</w:t>
            </w:r>
          </w:p>
        </w:tc>
        <w:tc>
          <w:tcPr>
            <w:tcW w:w="642" w:type="dxa"/>
            <w:shd w:val="clear" w:color="auto" w:fill="auto"/>
            <w:vAlign w:val="center"/>
          </w:tcPr>
          <w:p w:rsidR="00CD1E71" w:rsidRPr="008354C2" w:rsidRDefault="007745BC"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w:t>
            </w:r>
          </w:p>
        </w:tc>
      </w:tr>
      <w:tr w:rsidR="00CD1E71" w:rsidRPr="008354C2" w:rsidTr="000657D8">
        <w:tc>
          <w:tcPr>
            <w:tcW w:w="8934" w:type="dxa"/>
          </w:tcPr>
          <w:p w:rsidR="00CD1E71" w:rsidRPr="008354C2" w:rsidRDefault="00CD1E71" w:rsidP="008354C2">
            <w:pPr>
              <w:spacing w:before="120" w:after="0"/>
              <w:rPr>
                <w:rFonts w:ascii="Times New Roman" w:eastAsia="Calibri" w:hAnsi="Times New Roman" w:cs="Times New Roman"/>
                <w:b/>
                <w:sz w:val="28"/>
                <w:szCs w:val="28"/>
              </w:rPr>
            </w:pPr>
            <w:r w:rsidRPr="008354C2">
              <w:rPr>
                <w:rFonts w:ascii="Times New Roman" w:eastAsia="Calibri" w:hAnsi="Times New Roman" w:cs="Times New Roman"/>
                <w:b/>
                <w:sz w:val="28"/>
                <w:szCs w:val="28"/>
              </w:rPr>
              <w:t>DANH MỤC TỪ VIẾT TẮT</w:t>
            </w:r>
            <w:r w:rsidR="003A3C8B" w:rsidRPr="008354C2">
              <w:rPr>
                <w:rFonts w:ascii="Times New Roman" w:eastAsia="Calibri" w:hAnsi="Times New Roman" w:cs="Times New Roman"/>
                <w:sz w:val="28"/>
                <w:szCs w:val="28"/>
              </w:rPr>
              <w:t>………………………………………………...</w:t>
            </w:r>
          </w:p>
        </w:tc>
        <w:tc>
          <w:tcPr>
            <w:tcW w:w="642" w:type="dxa"/>
            <w:shd w:val="clear" w:color="auto" w:fill="auto"/>
            <w:vAlign w:val="center"/>
          </w:tcPr>
          <w:p w:rsidR="00CD1E71" w:rsidRPr="008354C2" w:rsidRDefault="007745BC"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w:t>
            </w:r>
          </w:p>
        </w:tc>
      </w:tr>
      <w:tr w:rsidR="00CD1E71" w:rsidRPr="008354C2" w:rsidTr="009B4117">
        <w:tc>
          <w:tcPr>
            <w:tcW w:w="8934" w:type="dxa"/>
          </w:tcPr>
          <w:p w:rsidR="007745BC" w:rsidRPr="008354C2" w:rsidRDefault="00CD1E71"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PHẦN THỨ NHẤT</w:t>
            </w:r>
          </w:p>
          <w:p w:rsidR="00CD1E71" w:rsidRPr="008354C2" w:rsidRDefault="007745BC"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ĐÁNH GIÁ TỔNG QUAN LUẬT VỀ KINH DOANH BẢO HIỂM VÀ THỊ TRƯỜNG BẢO HIỂM</w:t>
            </w:r>
            <w:r w:rsidRPr="008354C2">
              <w:rPr>
                <w:rFonts w:ascii="Times New Roman" w:eastAsia="Calibri" w:hAnsi="Times New Roman" w:cs="Times New Roman"/>
                <w:sz w:val="28"/>
                <w:szCs w:val="28"/>
              </w:rPr>
              <w:t>………………………………………………..</w:t>
            </w:r>
          </w:p>
        </w:tc>
        <w:tc>
          <w:tcPr>
            <w:tcW w:w="642" w:type="dxa"/>
            <w:shd w:val="clear" w:color="auto" w:fill="auto"/>
            <w:vAlign w:val="bottom"/>
          </w:tcPr>
          <w:p w:rsidR="00CD1E71" w:rsidRPr="008354C2" w:rsidRDefault="00FF3A20"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3</w:t>
            </w:r>
          </w:p>
        </w:tc>
      </w:tr>
      <w:tr w:rsidR="00471A83" w:rsidRPr="008354C2" w:rsidTr="009B4117">
        <w:tc>
          <w:tcPr>
            <w:tcW w:w="8934" w:type="dxa"/>
          </w:tcPr>
          <w:p w:rsidR="00471A83" w:rsidRPr="008354C2" w:rsidRDefault="00471A83"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PHẦN THỨ HAI</w:t>
            </w:r>
          </w:p>
          <w:p w:rsidR="00CD0E3B" w:rsidRPr="008354C2" w:rsidRDefault="00CD0E3B"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b/>
                <w:sz w:val="28"/>
                <w:szCs w:val="28"/>
              </w:rPr>
              <w:t>QUY ĐỊNH LUẬT VỀ KINH DOANH BẢO HIỂM VÀ THỊ TRƯỜNG BẢO HIỂM CỦA MỘT SỐ NƯỚC TRÊN THẾ GIỚI</w:t>
            </w:r>
            <w:r w:rsidRPr="008354C2">
              <w:rPr>
                <w:rFonts w:ascii="Times New Roman" w:eastAsia="Calibri" w:hAnsi="Times New Roman" w:cs="Times New Roman"/>
                <w:sz w:val="28"/>
                <w:szCs w:val="28"/>
              </w:rPr>
              <w:t>……………………</w:t>
            </w:r>
          </w:p>
        </w:tc>
        <w:tc>
          <w:tcPr>
            <w:tcW w:w="642" w:type="dxa"/>
            <w:shd w:val="clear" w:color="auto" w:fill="auto"/>
            <w:vAlign w:val="bottom"/>
          </w:tcPr>
          <w:p w:rsidR="00471A83" w:rsidRPr="008354C2" w:rsidRDefault="00CD0E3B"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w:t>
            </w:r>
            <w:r w:rsidR="00FF3A20" w:rsidRPr="008354C2">
              <w:rPr>
                <w:rFonts w:ascii="Times New Roman" w:eastAsia="Calibri" w:hAnsi="Times New Roman" w:cs="Times New Roman"/>
                <w:sz w:val="28"/>
                <w:szCs w:val="28"/>
              </w:rPr>
              <w:t>0</w:t>
            </w:r>
          </w:p>
        </w:tc>
      </w:tr>
      <w:tr w:rsidR="00E32D3F" w:rsidRPr="008354C2" w:rsidTr="009B4117">
        <w:tc>
          <w:tcPr>
            <w:tcW w:w="8934" w:type="dxa"/>
          </w:tcPr>
          <w:p w:rsidR="00E32D3F" w:rsidRPr="008354C2" w:rsidRDefault="00E32D3F"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I. CHÍNH SÁCH 1: HOÀN THIỆN CÁC QUY ĐỊNH VỀ MÔ HÌNH TỔ CHỨC, ĐIỀU KIỆN THÀNH LẬP, HOẠT ĐỘNG</w:t>
            </w:r>
            <w:r w:rsidRPr="008354C2">
              <w:rPr>
                <w:rFonts w:ascii="Times New Roman" w:eastAsia="Calibri" w:hAnsi="Times New Roman" w:cs="Times New Roman"/>
                <w:sz w:val="28"/>
                <w:szCs w:val="28"/>
              </w:rPr>
              <w:t>……………………….</w:t>
            </w:r>
          </w:p>
        </w:tc>
        <w:tc>
          <w:tcPr>
            <w:tcW w:w="642" w:type="dxa"/>
            <w:shd w:val="clear" w:color="auto" w:fill="auto"/>
            <w:vAlign w:val="bottom"/>
          </w:tcPr>
          <w:p w:rsidR="00E32D3F" w:rsidRPr="008354C2" w:rsidRDefault="00FF3A20"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10</w:t>
            </w:r>
          </w:p>
        </w:tc>
      </w:tr>
      <w:tr w:rsidR="00023F83" w:rsidRPr="008354C2" w:rsidTr="009B4117">
        <w:tc>
          <w:tcPr>
            <w:tcW w:w="8934" w:type="dxa"/>
          </w:tcPr>
          <w:p w:rsidR="00023F83" w:rsidRPr="008354C2" w:rsidRDefault="0062384B"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1. Quy định về điều kiện thành lập và hoạt động của doanh nghiệp bảo hiểm</w:t>
            </w:r>
            <w:r w:rsidR="00023F83" w:rsidRPr="008354C2">
              <w:rPr>
                <w:rFonts w:ascii="Times New Roman" w:eastAsia="Calibri" w:hAnsi="Times New Roman" w:cs="Times New Roman"/>
                <w:sz w:val="28"/>
                <w:szCs w:val="28"/>
              </w:rPr>
              <w:t>………………………………………………………………………</w:t>
            </w:r>
            <w:r w:rsidRPr="008354C2">
              <w:rPr>
                <w:rFonts w:ascii="Times New Roman" w:eastAsia="Calibri" w:hAnsi="Times New Roman" w:cs="Times New Roman"/>
                <w:sz w:val="28"/>
                <w:szCs w:val="28"/>
              </w:rPr>
              <w:t>……</w:t>
            </w:r>
          </w:p>
        </w:tc>
        <w:tc>
          <w:tcPr>
            <w:tcW w:w="642" w:type="dxa"/>
            <w:shd w:val="clear" w:color="auto" w:fill="auto"/>
            <w:vAlign w:val="bottom"/>
          </w:tcPr>
          <w:p w:rsidR="00023F83" w:rsidRPr="008354C2" w:rsidRDefault="0096062F"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w:t>
            </w:r>
            <w:r w:rsidR="0062384B" w:rsidRPr="008354C2">
              <w:rPr>
                <w:rFonts w:ascii="Times New Roman" w:eastAsia="Calibri" w:hAnsi="Times New Roman" w:cs="Times New Roman"/>
                <w:sz w:val="28"/>
                <w:szCs w:val="28"/>
              </w:rPr>
              <w:t>0</w:t>
            </w:r>
          </w:p>
        </w:tc>
      </w:tr>
      <w:tr w:rsidR="00023F83" w:rsidRPr="008354C2" w:rsidTr="000657D8">
        <w:tc>
          <w:tcPr>
            <w:tcW w:w="8934" w:type="dxa"/>
          </w:tcPr>
          <w:p w:rsidR="00023F83" w:rsidRPr="008354C2" w:rsidRDefault="00023F83"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2. Phạm vi, nội dung hoạt động của doanh nghiệp bảo hiểm…</w:t>
            </w:r>
            <w:r w:rsidR="005F2685" w:rsidRPr="008354C2">
              <w:rPr>
                <w:rFonts w:ascii="Times New Roman" w:eastAsia="Calibri" w:hAnsi="Times New Roman" w:cs="Times New Roman"/>
                <w:sz w:val="28"/>
                <w:szCs w:val="28"/>
              </w:rPr>
              <w:t>……………</w:t>
            </w:r>
            <w:r w:rsidR="0062384B" w:rsidRPr="008354C2">
              <w:rPr>
                <w:rFonts w:ascii="Times New Roman" w:eastAsia="Calibri" w:hAnsi="Times New Roman" w:cs="Times New Roman"/>
                <w:sz w:val="28"/>
                <w:szCs w:val="28"/>
              </w:rPr>
              <w:t>.</w:t>
            </w:r>
          </w:p>
        </w:tc>
        <w:tc>
          <w:tcPr>
            <w:tcW w:w="642" w:type="dxa"/>
            <w:shd w:val="clear" w:color="auto" w:fill="auto"/>
            <w:vAlign w:val="center"/>
          </w:tcPr>
          <w:p w:rsidR="00023F83" w:rsidRPr="008354C2" w:rsidRDefault="0096062F"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w:t>
            </w:r>
            <w:r w:rsidR="0062384B" w:rsidRPr="008354C2">
              <w:rPr>
                <w:rFonts w:ascii="Times New Roman" w:eastAsia="Calibri" w:hAnsi="Times New Roman" w:cs="Times New Roman"/>
                <w:sz w:val="28"/>
                <w:szCs w:val="28"/>
              </w:rPr>
              <w:t>1</w:t>
            </w:r>
          </w:p>
        </w:tc>
      </w:tr>
      <w:tr w:rsidR="00023F83" w:rsidRPr="008354C2" w:rsidTr="000657D8">
        <w:tc>
          <w:tcPr>
            <w:tcW w:w="8934" w:type="dxa"/>
          </w:tcPr>
          <w:p w:rsidR="00D203FF" w:rsidRPr="008354C2" w:rsidRDefault="00023F83"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3. Các nguyên tắc đối với việc quản trị, điều hành doanh nghiệp bảo hiểm</w:t>
            </w:r>
            <w:r w:rsidR="0096062F" w:rsidRPr="008354C2">
              <w:rPr>
                <w:rFonts w:ascii="Times New Roman" w:eastAsia="Calibri" w:hAnsi="Times New Roman" w:cs="Times New Roman"/>
                <w:sz w:val="28"/>
                <w:szCs w:val="28"/>
              </w:rPr>
              <w:t>…</w:t>
            </w:r>
            <w:r w:rsidR="00DA13A8" w:rsidRPr="008354C2">
              <w:rPr>
                <w:rFonts w:ascii="Times New Roman" w:eastAsia="Calibri" w:hAnsi="Times New Roman" w:cs="Times New Roman"/>
                <w:sz w:val="28"/>
                <w:szCs w:val="28"/>
              </w:rPr>
              <w:t>..</w:t>
            </w:r>
          </w:p>
        </w:tc>
        <w:tc>
          <w:tcPr>
            <w:tcW w:w="642" w:type="dxa"/>
            <w:shd w:val="clear" w:color="auto" w:fill="auto"/>
            <w:vAlign w:val="center"/>
          </w:tcPr>
          <w:p w:rsidR="00023F83" w:rsidRPr="008354C2" w:rsidRDefault="0096062F"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18</w:t>
            </w:r>
          </w:p>
        </w:tc>
      </w:tr>
      <w:tr w:rsidR="0096062F" w:rsidRPr="008354C2" w:rsidTr="000657D8">
        <w:tc>
          <w:tcPr>
            <w:tcW w:w="8934" w:type="dxa"/>
          </w:tcPr>
          <w:p w:rsidR="0096062F" w:rsidRPr="008354C2" w:rsidRDefault="0096062F"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4. </w:t>
            </w:r>
            <w:r w:rsidR="00DA13A8" w:rsidRPr="008354C2">
              <w:rPr>
                <w:rFonts w:ascii="Times New Roman" w:eastAsia="Calibri" w:hAnsi="Times New Roman" w:cs="Times New Roman"/>
                <w:sz w:val="28"/>
                <w:szCs w:val="28"/>
              </w:rPr>
              <w:t>Quy định về x</w:t>
            </w:r>
            <w:r w:rsidRPr="008354C2">
              <w:rPr>
                <w:rFonts w:ascii="Times New Roman" w:eastAsia="Calibri" w:hAnsi="Times New Roman" w:cs="Times New Roman"/>
                <w:sz w:val="28"/>
                <w:szCs w:val="28"/>
              </w:rPr>
              <w:t>ây dựng, thiết kế, phát triển sản phẩm bảo hiể</w:t>
            </w:r>
            <w:r w:rsidR="00DA13A8" w:rsidRPr="008354C2">
              <w:rPr>
                <w:rFonts w:ascii="Times New Roman" w:eastAsia="Calibri" w:hAnsi="Times New Roman" w:cs="Times New Roman"/>
                <w:sz w:val="28"/>
                <w:szCs w:val="28"/>
              </w:rPr>
              <w:t>m…………….</w:t>
            </w:r>
          </w:p>
        </w:tc>
        <w:tc>
          <w:tcPr>
            <w:tcW w:w="642" w:type="dxa"/>
            <w:shd w:val="clear" w:color="auto" w:fill="auto"/>
            <w:vAlign w:val="center"/>
          </w:tcPr>
          <w:p w:rsidR="0096062F" w:rsidRPr="008354C2" w:rsidRDefault="00DA13A8"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w:t>
            </w:r>
            <w:r w:rsidR="006D585B" w:rsidRPr="008354C2">
              <w:rPr>
                <w:rFonts w:ascii="Times New Roman" w:eastAsia="Calibri" w:hAnsi="Times New Roman" w:cs="Times New Roman"/>
                <w:sz w:val="28"/>
                <w:szCs w:val="28"/>
              </w:rPr>
              <w:t>3</w:t>
            </w:r>
          </w:p>
        </w:tc>
      </w:tr>
      <w:tr w:rsidR="0096062F" w:rsidRPr="008354C2" w:rsidTr="000657D8">
        <w:tc>
          <w:tcPr>
            <w:tcW w:w="8934" w:type="dxa"/>
          </w:tcPr>
          <w:p w:rsidR="0096062F" w:rsidRPr="008354C2" w:rsidRDefault="0096062F"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5. </w:t>
            </w:r>
            <w:r w:rsidR="00DA13A8" w:rsidRPr="008354C2">
              <w:rPr>
                <w:rFonts w:ascii="Times New Roman" w:eastAsia="Calibri" w:hAnsi="Times New Roman" w:cs="Times New Roman"/>
                <w:sz w:val="28"/>
                <w:szCs w:val="28"/>
              </w:rPr>
              <w:t>Quy định v</w:t>
            </w:r>
            <w:r w:rsidRPr="008354C2">
              <w:rPr>
                <w:rFonts w:ascii="Times New Roman" w:eastAsia="Calibri" w:hAnsi="Times New Roman" w:cs="Times New Roman"/>
                <w:sz w:val="28"/>
                <w:szCs w:val="28"/>
              </w:rPr>
              <w:t>ề quỹ rủi ro bảo hiể</w:t>
            </w:r>
            <w:r w:rsidR="00DA13A8" w:rsidRPr="008354C2">
              <w:rPr>
                <w:rFonts w:ascii="Times New Roman" w:eastAsia="Calibri" w:hAnsi="Times New Roman" w:cs="Times New Roman"/>
                <w:sz w:val="28"/>
                <w:szCs w:val="28"/>
              </w:rPr>
              <w:t>m………………………………………….</w:t>
            </w:r>
          </w:p>
        </w:tc>
        <w:tc>
          <w:tcPr>
            <w:tcW w:w="642" w:type="dxa"/>
            <w:shd w:val="clear" w:color="auto" w:fill="auto"/>
            <w:vAlign w:val="center"/>
          </w:tcPr>
          <w:p w:rsidR="0096062F" w:rsidRPr="008354C2" w:rsidRDefault="007F1D27"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27</w:t>
            </w:r>
          </w:p>
        </w:tc>
      </w:tr>
      <w:tr w:rsidR="0096062F" w:rsidRPr="008354C2" w:rsidTr="000657D8">
        <w:tc>
          <w:tcPr>
            <w:tcW w:w="8934" w:type="dxa"/>
          </w:tcPr>
          <w:p w:rsidR="0096062F" w:rsidRPr="008354C2" w:rsidRDefault="0096062F"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6. </w:t>
            </w:r>
            <w:r w:rsidR="00DA13A8" w:rsidRPr="008354C2">
              <w:rPr>
                <w:rFonts w:ascii="Times New Roman" w:eastAsia="Calibri" w:hAnsi="Times New Roman" w:cs="Times New Roman"/>
                <w:sz w:val="28"/>
                <w:szCs w:val="28"/>
              </w:rPr>
              <w:t>Quy định về h</w:t>
            </w:r>
            <w:r w:rsidRPr="008354C2">
              <w:rPr>
                <w:rFonts w:ascii="Times New Roman" w:eastAsia="Calibri" w:hAnsi="Times New Roman" w:cs="Times New Roman"/>
                <w:sz w:val="28"/>
                <w:szCs w:val="28"/>
              </w:rPr>
              <w:t>oạt độ</w:t>
            </w:r>
            <w:r w:rsidR="00DA13A8" w:rsidRPr="008354C2">
              <w:rPr>
                <w:rFonts w:ascii="Times New Roman" w:eastAsia="Calibri" w:hAnsi="Times New Roman" w:cs="Times New Roman"/>
                <w:sz w:val="28"/>
                <w:szCs w:val="28"/>
              </w:rPr>
              <w:t>ng thuê ngoài………………………………………….</w:t>
            </w:r>
          </w:p>
        </w:tc>
        <w:tc>
          <w:tcPr>
            <w:tcW w:w="642" w:type="dxa"/>
            <w:shd w:val="clear" w:color="auto" w:fill="auto"/>
            <w:vAlign w:val="center"/>
          </w:tcPr>
          <w:p w:rsidR="0096062F" w:rsidRPr="008354C2" w:rsidRDefault="00DA13A8"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28</w:t>
            </w:r>
          </w:p>
        </w:tc>
      </w:tr>
      <w:tr w:rsidR="0096062F" w:rsidRPr="008354C2" w:rsidTr="000657D8">
        <w:tc>
          <w:tcPr>
            <w:tcW w:w="8934" w:type="dxa"/>
          </w:tcPr>
          <w:p w:rsidR="0096062F" w:rsidRPr="008354C2" w:rsidRDefault="00DA13A8"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7. Quy định liên quan đến doanh nghiệp giải thể, phá sản</w:t>
            </w:r>
            <w:r w:rsidR="007F1D27" w:rsidRPr="008354C2">
              <w:rPr>
                <w:rFonts w:ascii="Times New Roman" w:eastAsia="Calibri" w:hAnsi="Times New Roman" w:cs="Times New Roman"/>
                <w:sz w:val="28"/>
                <w:szCs w:val="28"/>
              </w:rPr>
              <w:t>…………………….</w:t>
            </w:r>
          </w:p>
        </w:tc>
        <w:tc>
          <w:tcPr>
            <w:tcW w:w="642" w:type="dxa"/>
            <w:shd w:val="clear" w:color="auto" w:fill="auto"/>
            <w:vAlign w:val="center"/>
          </w:tcPr>
          <w:p w:rsidR="0096062F" w:rsidRPr="008354C2" w:rsidRDefault="007F1D27"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3</w:t>
            </w:r>
            <w:r w:rsidR="000240F2" w:rsidRPr="008354C2">
              <w:rPr>
                <w:rFonts w:ascii="Times New Roman" w:eastAsia="Calibri" w:hAnsi="Times New Roman" w:cs="Times New Roman"/>
                <w:sz w:val="28"/>
                <w:szCs w:val="28"/>
              </w:rPr>
              <w:t>9</w:t>
            </w:r>
          </w:p>
        </w:tc>
      </w:tr>
      <w:tr w:rsidR="00023F83" w:rsidRPr="008354C2" w:rsidTr="009B4117">
        <w:tc>
          <w:tcPr>
            <w:tcW w:w="8934" w:type="dxa"/>
          </w:tcPr>
          <w:p w:rsidR="00023F83" w:rsidRPr="008354C2" w:rsidRDefault="00023F83"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b/>
                <w:sz w:val="28"/>
                <w:szCs w:val="28"/>
              </w:rPr>
              <w:t>II. CHÍNH SÁCH 2: HOÀN THIỆN CÁC QUY ĐỊNH VỀ MÔ HÌNH TÀI CHÍNH ĐỐI VỚI CÁC DOANH NGHIỆP BẢO HIỂM</w:t>
            </w:r>
            <w:r w:rsidRPr="008354C2">
              <w:rPr>
                <w:rFonts w:ascii="Times New Roman" w:eastAsia="Calibri" w:hAnsi="Times New Roman" w:cs="Times New Roman"/>
                <w:sz w:val="28"/>
                <w:szCs w:val="28"/>
              </w:rPr>
              <w:t>…………</w:t>
            </w:r>
            <w:r w:rsidR="008366A1" w:rsidRPr="008354C2">
              <w:rPr>
                <w:rFonts w:ascii="Times New Roman" w:eastAsia="Calibri" w:hAnsi="Times New Roman" w:cs="Times New Roman"/>
                <w:sz w:val="28"/>
                <w:szCs w:val="28"/>
              </w:rPr>
              <w:t>….</w:t>
            </w:r>
          </w:p>
        </w:tc>
        <w:tc>
          <w:tcPr>
            <w:tcW w:w="642" w:type="dxa"/>
            <w:shd w:val="clear" w:color="auto" w:fill="auto"/>
            <w:vAlign w:val="bottom"/>
          </w:tcPr>
          <w:p w:rsidR="00023F83" w:rsidRPr="008354C2" w:rsidRDefault="007F1D27"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4</w:t>
            </w:r>
            <w:r w:rsidR="000240F2" w:rsidRPr="008354C2">
              <w:rPr>
                <w:rFonts w:ascii="Times New Roman" w:eastAsia="Calibri" w:hAnsi="Times New Roman" w:cs="Times New Roman"/>
                <w:sz w:val="28"/>
                <w:szCs w:val="28"/>
              </w:rPr>
              <w:t>5</w:t>
            </w:r>
          </w:p>
        </w:tc>
      </w:tr>
      <w:tr w:rsidR="00194275" w:rsidRPr="008354C2" w:rsidTr="000657D8">
        <w:tc>
          <w:tcPr>
            <w:tcW w:w="8934" w:type="dxa"/>
          </w:tcPr>
          <w:p w:rsidR="00194275" w:rsidRPr="008354C2" w:rsidRDefault="00B72BA3"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1</w:t>
            </w:r>
            <w:r w:rsidR="00194275" w:rsidRPr="008354C2">
              <w:rPr>
                <w:rFonts w:ascii="Times New Roman" w:eastAsia="Calibri" w:hAnsi="Times New Roman" w:cs="Times New Roman"/>
                <w:sz w:val="28"/>
                <w:szCs w:val="28"/>
              </w:rPr>
              <w:t>. Quy định về quản lý tài chính doanh nghiệp bảo hiểm</w:t>
            </w:r>
            <w:r w:rsidR="00B466FE" w:rsidRPr="008354C2">
              <w:rPr>
                <w:rFonts w:ascii="Times New Roman" w:eastAsia="Calibri" w:hAnsi="Times New Roman" w:cs="Times New Roman"/>
                <w:sz w:val="28"/>
                <w:szCs w:val="28"/>
              </w:rPr>
              <w:t>………………….</w:t>
            </w:r>
            <w:r w:rsidR="008366A1" w:rsidRPr="008354C2">
              <w:rPr>
                <w:rFonts w:ascii="Times New Roman" w:eastAsia="Calibri" w:hAnsi="Times New Roman" w:cs="Times New Roman"/>
                <w:sz w:val="28"/>
                <w:szCs w:val="28"/>
              </w:rPr>
              <w:t>.</w:t>
            </w:r>
          </w:p>
        </w:tc>
        <w:tc>
          <w:tcPr>
            <w:tcW w:w="642" w:type="dxa"/>
            <w:shd w:val="clear" w:color="auto" w:fill="auto"/>
            <w:vAlign w:val="center"/>
          </w:tcPr>
          <w:p w:rsidR="00194275" w:rsidRPr="008354C2" w:rsidRDefault="00005EBA"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4</w:t>
            </w:r>
            <w:r w:rsidR="000240F2" w:rsidRPr="008354C2">
              <w:rPr>
                <w:rFonts w:ascii="Times New Roman" w:eastAsia="Calibri" w:hAnsi="Times New Roman" w:cs="Times New Roman"/>
                <w:sz w:val="28"/>
                <w:szCs w:val="28"/>
              </w:rPr>
              <w:t>5</w:t>
            </w:r>
          </w:p>
        </w:tc>
      </w:tr>
      <w:tr w:rsidR="00194275" w:rsidRPr="008354C2" w:rsidTr="000657D8">
        <w:tc>
          <w:tcPr>
            <w:tcW w:w="8934" w:type="dxa"/>
          </w:tcPr>
          <w:p w:rsidR="00194275" w:rsidRPr="008354C2" w:rsidRDefault="00B72BA3"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2</w:t>
            </w:r>
            <w:r w:rsidR="00194275" w:rsidRPr="008354C2">
              <w:rPr>
                <w:rFonts w:ascii="Times New Roman" w:eastAsia="Calibri" w:hAnsi="Times New Roman" w:cs="Times New Roman"/>
                <w:sz w:val="28"/>
                <w:szCs w:val="28"/>
              </w:rPr>
              <w:t>. Quy định về quản trị rủi ro, kiểm tra, kiểm soát nội bộ</w:t>
            </w:r>
            <w:r w:rsidR="00B466FE" w:rsidRPr="008354C2">
              <w:rPr>
                <w:rFonts w:ascii="Times New Roman" w:eastAsia="Calibri" w:hAnsi="Times New Roman" w:cs="Times New Roman"/>
                <w:sz w:val="28"/>
                <w:szCs w:val="28"/>
              </w:rPr>
              <w:t>…………………</w:t>
            </w:r>
            <w:r w:rsidR="008366A1" w:rsidRPr="008354C2">
              <w:rPr>
                <w:rFonts w:ascii="Times New Roman" w:eastAsia="Calibri" w:hAnsi="Times New Roman" w:cs="Times New Roman"/>
                <w:sz w:val="28"/>
                <w:szCs w:val="28"/>
              </w:rPr>
              <w:t>.</w:t>
            </w:r>
          </w:p>
        </w:tc>
        <w:tc>
          <w:tcPr>
            <w:tcW w:w="642" w:type="dxa"/>
            <w:shd w:val="clear" w:color="auto" w:fill="auto"/>
            <w:vAlign w:val="center"/>
          </w:tcPr>
          <w:p w:rsidR="00194275" w:rsidRPr="008354C2" w:rsidRDefault="00005EBA"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7</w:t>
            </w:r>
            <w:r w:rsidR="000240F2" w:rsidRPr="008354C2">
              <w:rPr>
                <w:rFonts w:ascii="Times New Roman" w:eastAsia="Calibri" w:hAnsi="Times New Roman" w:cs="Times New Roman"/>
                <w:sz w:val="28"/>
                <w:szCs w:val="28"/>
              </w:rPr>
              <w:t>6</w:t>
            </w:r>
          </w:p>
        </w:tc>
      </w:tr>
      <w:tr w:rsidR="00194275" w:rsidRPr="008354C2" w:rsidTr="000657D8">
        <w:tc>
          <w:tcPr>
            <w:tcW w:w="8934" w:type="dxa"/>
          </w:tcPr>
          <w:p w:rsidR="00194275" w:rsidRPr="008354C2" w:rsidRDefault="00B72BA3"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3</w:t>
            </w:r>
            <w:r w:rsidR="00194275" w:rsidRPr="008354C2">
              <w:rPr>
                <w:rFonts w:ascii="Times New Roman" w:eastAsia="Calibri" w:hAnsi="Times New Roman" w:cs="Times New Roman"/>
                <w:sz w:val="28"/>
                <w:szCs w:val="28"/>
              </w:rPr>
              <w:t>. Quy định về công khai</w:t>
            </w:r>
            <w:r w:rsidR="004A41FA" w:rsidRPr="008354C2">
              <w:rPr>
                <w:rFonts w:ascii="Times New Roman" w:eastAsia="Calibri" w:hAnsi="Times New Roman" w:cs="Times New Roman"/>
                <w:sz w:val="28"/>
                <w:szCs w:val="28"/>
              </w:rPr>
              <w:t>, báo cáo</w:t>
            </w:r>
            <w:r w:rsidR="00194275" w:rsidRPr="008354C2">
              <w:rPr>
                <w:rFonts w:ascii="Times New Roman" w:eastAsia="Calibri" w:hAnsi="Times New Roman" w:cs="Times New Roman"/>
                <w:sz w:val="28"/>
                <w:szCs w:val="28"/>
              </w:rPr>
              <w:t xml:space="preserve"> thông tin</w:t>
            </w:r>
            <w:r w:rsidR="004A41FA" w:rsidRPr="008354C2">
              <w:rPr>
                <w:rFonts w:ascii="Times New Roman" w:eastAsia="Calibri" w:hAnsi="Times New Roman" w:cs="Times New Roman"/>
                <w:sz w:val="28"/>
                <w:szCs w:val="28"/>
              </w:rPr>
              <w:t>…………………………………</w:t>
            </w:r>
          </w:p>
        </w:tc>
        <w:tc>
          <w:tcPr>
            <w:tcW w:w="642" w:type="dxa"/>
            <w:shd w:val="clear" w:color="auto" w:fill="auto"/>
            <w:vAlign w:val="center"/>
          </w:tcPr>
          <w:p w:rsidR="00194275" w:rsidRPr="008354C2" w:rsidRDefault="00005EBA"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8</w:t>
            </w:r>
            <w:r w:rsidR="000240F2" w:rsidRPr="008354C2">
              <w:rPr>
                <w:rFonts w:ascii="Times New Roman" w:eastAsia="Calibri" w:hAnsi="Times New Roman" w:cs="Times New Roman"/>
                <w:sz w:val="28"/>
                <w:szCs w:val="28"/>
              </w:rPr>
              <w:t>2</w:t>
            </w:r>
          </w:p>
        </w:tc>
      </w:tr>
      <w:tr w:rsidR="00194275" w:rsidRPr="008354C2" w:rsidTr="009B4117">
        <w:tc>
          <w:tcPr>
            <w:tcW w:w="8934" w:type="dxa"/>
          </w:tcPr>
          <w:p w:rsidR="00194275" w:rsidRPr="008354C2" w:rsidRDefault="00194275"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III. CHÍNH SÁCH 3: HOÀN THIỆN CHẾ ĐỊNH HỢP ĐỒNG BẢO HIỂM, BẢO ĐẢM NGUYÊN TẮC BÌNH ĐẲNG, MINH BẠCH VÀ AN TOÀN CHO CÁC GIAO DỊCH BẢO HIỂM</w:t>
            </w:r>
            <w:r w:rsidR="00B466FE" w:rsidRPr="008354C2">
              <w:rPr>
                <w:rFonts w:ascii="Times New Roman" w:eastAsia="Calibri" w:hAnsi="Times New Roman" w:cs="Times New Roman"/>
                <w:sz w:val="28"/>
                <w:szCs w:val="28"/>
              </w:rPr>
              <w:t>……………………………</w:t>
            </w:r>
            <w:r w:rsidR="008366A1" w:rsidRPr="008354C2">
              <w:rPr>
                <w:rFonts w:ascii="Times New Roman" w:eastAsia="Calibri" w:hAnsi="Times New Roman" w:cs="Times New Roman"/>
                <w:sz w:val="28"/>
                <w:szCs w:val="28"/>
              </w:rPr>
              <w:t>…</w:t>
            </w:r>
          </w:p>
        </w:tc>
        <w:tc>
          <w:tcPr>
            <w:tcW w:w="642" w:type="dxa"/>
            <w:shd w:val="clear" w:color="auto" w:fill="auto"/>
            <w:vAlign w:val="bottom"/>
          </w:tcPr>
          <w:p w:rsidR="00194275" w:rsidRPr="008354C2" w:rsidRDefault="00005EBA"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8</w:t>
            </w:r>
            <w:r w:rsidR="004C1FF2" w:rsidRPr="008354C2">
              <w:rPr>
                <w:rFonts w:ascii="Times New Roman" w:eastAsia="Calibri" w:hAnsi="Times New Roman" w:cs="Times New Roman"/>
                <w:sz w:val="28"/>
                <w:szCs w:val="28"/>
              </w:rPr>
              <w:t>6</w:t>
            </w:r>
          </w:p>
        </w:tc>
      </w:tr>
      <w:tr w:rsidR="00194275" w:rsidRPr="008354C2" w:rsidTr="000657D8">
        <w:tc>
          <w:tcPr>
            <w:tcW w:w="8934" w:type="dxa"/>
          </w:tcPr>
          <w:p w:rsidR="00194275" w:rsidRPr="008354C2" w:rsidRDefault="0073251B"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1. Các nguyên tắc giao kết và thực hiện</w:t>
            </w:r>
            <w:r w:rsidR="00194275" w:rsidRPr="008354C2">
              <w:rPr>
                <w:rFonts w:ascii="Times New Roman" w:eastAsia="Calibri" w:hAnsi="Times New Roman" w:cs="Times New Roman"/>
                <w:sz w:val="28"/>
                <w:szCs w:val="28"/>
              </w:rPr>
              <w:t xml:space="preserve"> hợp đồng bảo hiểm</w:t>
            </w:r>
            <w:r w:rsidR="008366A1" w:rsidRPr="008354C2">
              <w:rPr>
                <w:rFonts w:ascii="Times New Roman" w:eastAsia="Calibri" w:hAnsi="Times New Roman" w:cs="Times New Roman"/>
                <w:sz w:val="28"/>
                <w:szCs w:val="28"/>
              </w:rPr>
              <w:t>……………….</w:t>
            </w:r>
          </w:p>
        </w:tc>
        <w:tc>
          <w:tcPr>
            <w:tcW w:w="642" w:type="dxa"/>
            <w:shd w:val="clear" w:color="auto" w:fill="auto"/>
            <w:vAlign w:val="center"/>
          </w:tcPr>
          <w:p w:rsidR="00194275" w:rsidRPr="008354C2" w:rsidRDefault="00005EBA"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8</w:t>
            </w:r>
            <w:r w:rsidR="004C1FF2" w:rsidRPr="008354C2">
              <w:rPr>
                <w:rFonts w:ascii="Times New Roman" w:eastAsia="Calibri" w:hAnsi="Times New Roman" w:cs="Times New Roman"/>
                <w:sz w:val="28"/>
                <w:szCs w:val="28"/>
              </w:rPr>
              <w:t>6</w:t>
            </w:r>
          </w:p>
        </w:tc>
      </w:tr>
      <w:tr w:rsidR="00194275" w:rsidRPr="008354C2" w:rsidTr="000657D8">
        <w:tc>
          <w:tcPr>
            <w:tcW w:w="8934" w:type="dxa"/>
          </w:tcPr>
          <w:p w:rsidR="00194275" w:rsidRPr="008354C2" w:rsidRDefault="00194275"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2. Quy định về giao kết, thực hiện hợp đồng bảo hiểm</w:t>
            </w:r>
            <w:r w:rsidR="00B466FE" w:rsidRPr="008354C2">
              <w:rPr>
                <w:rFonts w:ascii="Times New Roman" w:eastAsia="Calibri" w:hAnsi="Times New Roman" w:cs="Times New Roman"/>
                <w:sz w:val="28"/>
                <w:szCs w:val="28"/>
              </w:rPr>
              <w:t>……………………..</w:t>
            </w:r>
          </w:p>
        </w:tc>
        <w:tc>
          <w:tcPr>
            <w:tcW w:w="642" w:type="dxa"/>
            <w:shd w:val="clear" w:color="auto" w:fill="auto"/>
            <w:vAlign w:val="center"/>
          </w:tcPr>
          <w:p w:rsidR="00194275" w:rsidRPr="008354C2" w:rsidRDefault="00005EBA"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10</w:t>
            </w:r>
            <w:r w:rsidR="004C1FF2" w:rsidRPr="008354C2">
              <w:rPr>
                <w:rFonts w:ascii="Times New Roman" w:eastAsia="Calibri" w:hAnsi="Times New Roman" w:cs="Times New Roman"/>
                <w:sz w:val="28"/>
                <w:szCs w:val="28"/>
              </w:rPr>
              <w:t>9</w:t>
            </w:r>
          </w:p>
        </w:tc>
      </w:tr>
      <w:tr w:rsidR="00194275" w:rsidRPr="008354C2" w:rsidTr="000657D8">
        <w:tc>
          <w:tcPr>
            <w:tcW w:w="8934" w:type="dxa"/>
          </w:tcPr>
          <w:p w:rsidR="00194275" w:rsidRPr="008354C2" w:rsidRDefault="00194275"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3. Quy định về các loại hợp đồng bảo hiểm</w:t>
            </w:r>
            <w:r w:rsidR="00B466FE" w:rsidRPr="008354C2">
              <w:rPr>
                <w:rFonts w:ascii="Times New Roman" w:eastAsia="Calibri" w:hAnsi="Times New Roman" w:cs="Times New Roman"/>
                <w:sz w:val="28"/>
                <w:szCs w:val="28"/>
              </w:rPr>
              <w:t>………………………………….</w:t>
            </w:r>
          </w:p>
        </w:tc>
        <w:tc>
          <w:tcPr>
            <w:tcW w:w="642" w:type="dxa"/>
            <w:shd w:val="clear" w:color="auto" w:fill="auto"/>
            <w:vAlign w:val="center"/>
          </w:tcPr>
          <w:p w:rsidR="00194275" w:rsidRPr="008354C2" w:rsidRDefault="00005EBA"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w:t>
            </w:r>
            <w:r w:rsidR="004C1FF2" w:rsidRPr="008354C2">
              <w:rPr>
                <w:rFonts w:ascii="Times New Roman" w:eastAsia="Calibri" w:hAnsi="Times New Roman" w:cs="Times New Roman"/>
                <w:sz w:val="28"/>
                <w:szCs w:val="28"/>
              </w:rPr>
              <w:t>40</w:t>
            </w:r>
          </w:p>
        </w:tc>
      </w:tr>
      <w:tr w:rsidR="00194275" w:rsidRPr="008354C2" w:rsidTr="009B4117">
        <w:tc>
          <w:tcPr>
            <w:tcW w:w="8934" w:type="dxa"/>
          </w:tcPr>
          <w:p w:rsidR="00BB0B3E" w:rsidRDefault="00BB0B3E" w:rsidP="008354C2">
            <w:pPr>
              <w:spacing w:before="120" w:after="0"/>
              <w:jc w:val="both"/>
              <w:rPr>
                <w:rFonts w:ascii="Times New Roman" w:eastAsia="Calibri" w:hAnsi="Times New Roman" w:cs="Times New Roman"/>
                <w:b/>
                <w:sz w:val="28"/>
                <w:szCs w:val="28"/>
              </w:rPr>
            </w:pPr>
          </w:p>
          <w:p w:rsidR="00194275" w:rsidRPr="008354C2" w:rsidRDefault="00005EBA"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lastRenderedPageBreak/>
              <w:t xml:space="preserve">IV. </w:t>
            </w:r>
            <w:r w:rsidR="00194275" w:rsidRPr="008354C2">
              <w:rPr>
                <w:rFonts w:ascii="Times New Roman" w:eastAsia="Calibri" w:hAnsi="Times New Roman" w:cs="Times New Roman"/>
                <w:b/>
                <w:sz w:val="28"/>
                <w:szCs w:val="28"/>
              </w:rPr>
              <w:t>CHÍNH SÁCH 4: KHUYẾN KHÍCH SỬ DỤNG, ỨNG DỤNG CÔNG NGHỆ THÔNG TIN, NHẰM CHUẨN MỰC HÓA CÁC HOẠT ĐỘNG VÀ GIAO DỊCH BẢO HIỂM TRÊN THỊ TRƯỜNG, NÂNG CAO HIỆU QUẢ HOẠT ĐỘNG BẢO HIỂM</w:t>
            </w:r>
            <w:r w:rsidR="008366A1" w:rsidRPr="008354C2">
              <w:rPr>
                <w:rFonts w:ascii="Times New Roman" w:eastAsia="Calibri" w:hAnsi="Times New Roman" w:cs="Times New Roman"/>
                <w:sz w:val="28"/>
                <w:szCs w:val="28"/>
              </w:rPr>
              <w:t>……………………………..</w:t>
            </w:r>
          </w:p>
        </w:tc>
        <w:tc>
          <w:tcPr>
            <w:tcW w:w="642" w:type="dxa"/>
            <w:shd w:val="clear" w:color="auto" w:fill="auto"/>
            <w:vAlign w:val="bottom"/>
          </w:tcPr>
          <w:p w:rsidR="00194275" w:rsidRPr="008354C2" w:rsidRDefault="00194275" w:rsidP="008354C2">
            <w:pPr>
              <w:spacing w:before="120" w:after="0"/>
              <w:jc w:val="center"/>
              <w:rPr>
                <w:rFonts w:ascii="Times New Roman" w:eastAsia="Calibri" w:hAnsi="Times New Roman" w:cs="Times New Roman"/>
                <w:sz w:val="28"/>
                <w:szCs w:val="28"/>
              </w:rPr>
            </w:pPr>
          </w:p>
        </w:tc>
      </w:tr>
      <w:tr w:rsidR="00194275" w:rsidRPr="008354C2" w:rsidTr="009B4117">
        <w:tc>
          <w:tcPr>
            <w:tcW w:w="8934" w:type="dxa"/>
          </w:tcPr>
          <w:p w:rsidR="00194275" w:rsidRPr="008354C2" w:rsidRDefault="00005EBA"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lastRenderedPageBreak/>
              <w:t>1. Quy định pháp luật về việc xây dựng hệ thống thông tin và áp dụng công nghệ trong việc thiết kế, phát triển, triển khai, phân phối sản phẩm, dịch vụ bảo hiểm</w:t>
            </w:r>
            <w:r w:rsidR="00B466FE" w:rsidRPr="008354C2">
              <w:rPr>
                <w:rFonts w:ascii="Times New Roman" w:eastAsia="Calibri" w:hAnsi="Times New Roman" w:cs="Times New Roman"/>
                <w:sz w:val="28"/>
                <w:szCs w:val="28"/>
              </w:rPr>
              <w:t>………………...</w:t>
            </w:r>
            <w:r w:rsidR="00DE3B2F" w:rsidRPr="008354C2">
              <w:rPr>
                <w:rFonts w:ascii="Times New Roman" w:eastAsia="Calibri" w:hAnsi="Times New Roman" w:cs="Times New Roman"/>
                <w:sz w:val="28"/>
                <w:szCs w:val="28"/>
              </w:rPr>
              <w:t>............................................................................</w:t>
            </w:r>
          </w:p>
        </w:tc>
        <w:tc>
          <w:tcPr>
            <w:tcW w:w="642" w:type="dxa"/>
            <w:shd w:val="clear" w:color="auto" w:fill="auto"/>
            <w:vAlign w:val="bottom"/>
          </w:tcPr>
          <w:p w:rsidR="00194275" w:rsidRPr="008354C2" w:rsidRDefault="00005EBA"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15</w:t>
            </w:r>
            <w:r w:rsidR="004C1FF2" w:rsidRPr="008354C2">
              <w:rPr>
                <w:rFonts w:ascii="Times New Roman" w:eastAsia="Calibri" w:hAnsi="Times New Roman" w:cs="Times New Roman"/>
                <w:sz w:val="28"/>
                <w:szCs w:val="28"/>
              </w:rPr>
              <w:t>1</w:t>
            </w:r>
          </w:p>
        </w:tc>
      </w:tr>
      <w:tr w:rsidR="00194275" w:rsidRPr="008354C2" w:rsidTr="000657D8">
        <w:tc>
          <w:tcPr>
            <w:tcW w:w="8934" w:type="dxa"/>
          </w:tcPr>
          <w:p w:rsidR="00966019" w:rsidRPr="008354C2" w:rsidRDefault="00194275"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2. </w:t>
            </w:r>
            <w:r w:rsidR="004A41FA" w:rsidRPr="008354C2">
              <w:rPr>
                <w:rFonts w:ascii="Times New Roman" w:eastAsia="Calibri" w:hAnsi="Times New Roman" w:cs="Times New Roman"/>
                <w:sz w:val="28"/>
                <w:szCs w:val="28"/>
              </w:rPr>
              <w:t>Quy định liên quan đến đại lý bảo hiểm……………………………………</w:t>
            </w:r>
            <w:r w:rsidR="003A3C8B" w:rsidRPr="008354C2">
              <w:rPr>
                <w:rFonts w:ascii="Times New Roman" w:eastAsia="Calibri" w:hAnsi="Times New Roman" w:cs="Times New Roman"/>
                <w:sz w:val="28"/>
                <w:szCs w:val="28"/>
              </w:rPr>
              <w:t>.</w:t>
            </w:r>
          </w:p>
        </w:tc>
        <w:tc>
          <w:tcPr>
            <w:tcW w:w="642" w:type="dxa"/>
            <w:shd w:val="clear" w:color="auto" w:fill="auto"/>
            <w:vAlign w:val="center"/>
          </w:tcPr>
          <w:p w:rsidR="00194275" w:rsidRPr="008354C2" w:rsidRDefault="007F3BA2"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15</w:t>
            </w:r>
            <w:r w:rsidR="004C1FF2" w:rsidRPr="008354C2">
              <w:rPr>
                <w:rFonts w:ascii="Times New Roman" w:eastAsia="Calibri" w:hAnsi="Times New Roman" w:cs="Times New Roman"/>
                <w:sz w:val="28"/>
                <w:szCs w:val="28"/>
              </w:rPr>
              <w:t>7</w:t>
            </w:r>
          </w:p>
        </w:tc>
      </w:tr>
      <w:tr w:rsidR="007F3BA2" w:rsidRPr="008354C2" w:rsidTr="000657D8">
        <w:tc>
          <w:tcPr>
            <w:tcW w:w="8934" w:type="dxa"/>
          </w:tcPr>
          <w:p w:rsidR="007F3BA2" w:rsidRPr="008354C2" w:rsidRDefault="007F3BA2"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3. Quy định liên quan đến doanh nghiệp môi giới bảo hiểm……………….</w:t>
            </w:r>
          </w:p>
        </w:tc>
        <w:tc>
          <w:tcPr>
            <w:tcW w:w="642" w:type="dxa"/>
            <w:shd w:val="clear" w:color="auto" w:fill="auto"/>
            <w:vAlign w:val="center"/>
          </w:tcPr>
          <w:p w:rsidR="007F3BA2" w:rsidRPr="008354C2" w:rsidRDefault="007F3BA2"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15</w:t>
            </w:r>
            <w:r w:rsidR="004C1FF2" w:rsidRPr="008354C2">
              <w:rPr>
                <w:rFonts w:ascii="Times New Roman" w:eastAsia="Calibri" w:hAnsi="Times New Roman" w:cs="Times New Roman"/>
                <w:sz w:val="28"/>
                <w:szCs w:val="28"/>
              </w:rPr>
              <w:t>7</w:t>
            </w:r>
          </w:p>
        </w:tc>
      </w:tr>
      <w:tr w:rsidR="00194275" w:rsidRPr="008354C2" w:rsidTr="009B4117">
        <w:tc>
          <w:tcPr>
            <w:tcW w:w="8934" w:type="dxa"/>
          </w:tcPr>
          <w:p w:rsidR="00194275" w:rsidRPr="008354C2" w:rsidRDefault="00194275"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V. CHÍNH SÁCH 5: BỔ SUNG, HOÀN THIỆN CÁC QUY ĐỊNH VỀ PHÁT TRIỂN VÀ NÂNG CAO CHẤT LƯỢNG NGUỒN NHÂN LỰC TRONG LĨNH VỰC KINH DOANH BẢO HIỂM</w:t>
            </w:r>
            <w:r w:rsidR="00B466FE" w:rsidRPr="008354C2">
              <w:rPr>
                <w:rFonts w:ascii="Times New Roman" w:eastAsia="Calibri" w:hAnsi="Times New Roman" w:cs="Times New Roman"/>
                <w:sz w:val="28"/>
                <w:szCs w:val="28"/>
              </w:rPr>
              <w:t>………………………</w:t>
            </w:r>
            <w:r w:rsidR="003A3C8B" w:rsidRPr="008354C2">
              <w:rPr>
                <w:rFonts w:ascii="Times New Roman" w:eastAsia="Calibri" w:hAnsi="Times New Roman" w:cs="Times New Roman"/>
                <w:sz w:val="28"/>
                <w:szCs w:val="28"/>
              </w:rPr>
              <w:t>.</w:t>
            </w:r>
          </w:p>
        </w:tc>
        <w:tc>
          <w:tcPr>
            <w:tcW w:w="642" w:type="dxa"/>
            <w:shd w:val="clear" w:color="auto" w:fill="auto"/>
            <w:vAlign w:val="bottom"/>
          </w:tcPr>
          <w:p w:rsidR="00194275" w:rsidRPr="008354C2" w:rsidRDefault="007F3BA2"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16</w:t>
            </w:r>
            <w:r w:rsidR="004C1FF2" w:rsidRPr="008354C2">
              <w:rPr>
                <w:rFonts w:ascii="Times New Roman" w:eastAsia="Calibri" w:hAnsi="Times New Roman" w:cs="Times New Roman"/>
                <w:sz w:val="28"/>
                <w:szCs w:val="28"/>
              </w:rPr>
              <w:t>1</w:t>
            </w:r>
          </w:p>
        </w:tc>
      </w:tr>
      <w:tr w:rsidR="00194275" w:rsidRPr="008354C2" w:rsidTr="000657D8">
        <w:tc>
          <w:tcPr>
            <w:tcW w:w="8934" w:type="dxa"/>
          </w:tcPr>
          <w:p w:rsidR="00194275" w:rsidRPr="008354C2" w:rsidRDefault="00194275"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1. </w:t>
            </w:r>
            <w:r w:rsidR="007F3BA2" w:rsidRPr="008354C2">
              <w:rPr>
                <w:rFonts w:ascii="Times New Roman" w:eastAsia="Calibri" w:hAnsi="Times New Roman" w:cs="Times New Roman"/>
                <w:sz w:val="28"/>
                <w:szCs w:val="28"/>
              </w:rPr>
              <w:t>Quy định về phát triển nguồn nhân lực</w:t>
            </w:r>
            <w:r w:rsidR="00DD386E" w:rsidRPr="008354C2">
              <w:rPr>
                <w:rFonts w:ascii="Times New Roman" w:eastAsia="Calibri" w:hAnsi="Times New Roman" w:cs="Times New Roman"/>
                <w:sz w:val="28"/>
                <w:szCs w:val="28"/>
              </w:rPr>
              <w:t>…………………………………</w:t>
            </w:r>
            <w:r w:rsidR="003A3C8B" w:rsidRPr="008354C2">
              <w:rPr>
                <w:rFonts w:ascii="Times New Roman" w:eastAsia="Calibri" w:hAnsi="Times New Roman" w:cs="Times New Roman"/>
                <w:sz w:val="28"/>
                <w:szCs w:val="28"/>
              </w:rPr>
              <w:t>….</w:t>
            </w:r>
          </w:p>
        </w:tc>
        <w:tc>
          <w:tcPr>
            <w:tcW w:w="642" w:type="dxa"/>
            <w:shd w:val="clear" w:color="auto" w:fill="auto"/>
            <w:vAlign w:val="center"/>
          </w:tcPr>
          <w:p w:rsidR="00194275" w:rsidRPr="008354C2" w:rsidRDefault="007F3BA2"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16</w:t>
            </w:r>
            <w:r w:rsidR="004C1FF2" w:rsidRPr="008354C2">
              <w:rPr>
                <w:rFonts w:ascii="Times New Roman" w:eastAsia="Calibri" w:hAnsi="Times New Roman" w:cs="Times New Roman"/>
                <w:sz w:val="28"/>
                <w:szCs w:val="28"/>
              </w:rPr>
              <w:t>1</w:t>
            </w:r>
          </w:p>
        </w:tc>
      </w:tr>
      <w:tr w:rsidR="00194275" w:rsidRPr="008354C2" w:rsidTr="00674CD6">
        <w:tc>
          <w:tcPr>
            <w:tcW w:w="8934" w:type="dxa"/>
          </w:tcPr>
          <w:p w:rsidR="00194275" w:rsidRPr="008354C2" w:rsidRDefault="002A0698"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2. Quy định về công tác xây dựng cơ sở dữ liệu, đề xuất mức phí sàn, thống nhất phương pháp định phí bảo hiểm, phương pháp trích lập dự phòng</w:t>
            </w:r>
            <w:r w:rsidR="007F3BA2" w:rsidRPr="008354C2">
              <w:rPr>
                <w:rFonts w:ascii="Times New Roman" w:eastAsia="Calibri" w:hAnsi="Times New Roman" w:cs="Times New Roman"/>
                <w:sz w:val="28"/>
                <w:szCs w:val="28"/>
              </w:rPr>
              <w:t>….</w:t>
            </w:r>
          </w:p>
        </w:tc>
        <w:tc>
          <w:tcPr>
            <w:tcW w:w="642" w:type="dxa"/>
            <w:shd w:val="clear" w:color="auto" w:fill="auto"/>
            <w:vAlign w:val="bottom"/>
          </w:tcPr>
          <w:p w:rsidR="00194275" w:rsidRPr="008354C2" w:rsidRDefault="002A0698"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19</w:t>
            </w:r>
            <w:r w:rsidR="00141033" w:rsidRPr="008354C2">
              <w:rPr>
                <w:rFonts w:ascii="Times New Roman" w:eastAsia="Calibri" w:hAnsi="Times New Roman" w:cs="Times New Roman"/>
                <w:sz w:val="28"/>
                <w:szCs w:val="28"/>
              </w:rPr>
              <w:t>3</w:t>
            </w:r>
          </w:p>
        </w:tc>
      </w:tr>
      <w:tr w:rsidR="00016721" w:rsidRPr="008354C2" w:rsidTr="009B4117">
        <w:tc>
          <w:tcPr>
            <w:tcW w:w="8934" w:type="dxa"/>
          </w:tcPr>
          <w:p w:rsidR="00016721" w:rsidRPr="008354C2" w:rsidRDefault="00016721"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VI. CHÍNH SÁCH 6: HOÀN THIỆN CÁC QUY ĐỊNH VỀ BẢO ĐẢM AN TOÀN, ĐỀ PHÒNG HẠN CHẾ TỔN THẤT, PHÒNG NGỪA GIAN LẬN BẢO HIỂM, NÂNG CAO HIỆU QUẢ GIẢI QUYẾT TRANH CHẤP</w:t>
            </w:r>
            <w:r w:rsidR="00C31D1B" w:rsidRPr="008354C2">
              <w:rPr>
                <w:rFonts w:ascii="Times New Roman" w:eastAsia="Calibri" w:hAnsi="Times New Roman" w:cs="Times New Roman"/>
                <w:sz w:val="28"/>
                <w:szCs w:val="28"/>
              </w:rPr>
              <w:t>…………………………………………………………………………</w:t>
            </w:r>
          </w:p>
        </w:tc>
        <w:tc>
          <w:tcPr>
            <w:tcW w:w="642" w:type="dxa"/>
            <w:shd w:val="clear" w:color="auto" w:fill="auto"/>
            <w:vAlign w:val="bottom"/>
          </w:tcPr>
          <w:p w:rsidR="00016721" w:rsidRPr="008354C2" w:rsidRDefault="002A0698"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20</w:t>
            </w:r>
            <w:r w:rsidR="00141033" w:rsidRPr="008354C2">
              <w:rPr>
                <w:rFonts w:ascii="Times New Roman" w:eastAsia="Calibri" w:hAnsi="Times New Roman" w:cs="Times New Roman"/>
                <w:sz w:val="28"/>
                <w:szCs w:val="28"/>
              </w:rPr>
              <w:t>7</w:t>
            </w:r>
          </w:p>
        </w:tc>
      </w:tr>
      <w:tr w:rsidR="00016721" w:rsidRPr="008354C2" w:rsidTr="000657D8">
        <w:tc>
          <w:tcPr>
            <w:tcW w:w="8934" w:type="dxa"/>
          </w:tcPr>
          <w:p w:rsidR="00016721" w:rsidRPr="008354C2" w:rsidRDefault="00016721"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1. Quy định về đề phòng hạn chế tổn thất</w:t>
            </w:r>
            <w:r w:rsidR="003A3C8B" w:rsidRPr="008354C2">
              <w:rPr>
                <w:rFonts w:ascii="Times New Roman" w:eastAsia="Calibri" w:hAnsi="Times New Roman" w:cs="Times New Roman"/>
                <w:sz w:val="28"/>
                <w:szCs w:val="28"/>
              </w:rPr>
              <w:t>…………………………………….</w:t>
            </w:r>
          </w:p>
        </w:tc>
        <w:tc>
          <w:tcPr>
            <w:tcW w:w="642" w:type="dxa"/>
            <w:shd w:val="clear" w:color="auto" w:fill="auto"/>
            <w:vAlign w:val="center"/>
          </w:tcPr>
          <w:p w:rsidR="00016721" w:rsidRPr="008354C2" w:rsidRDefault="002A0698"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20</w:t>
            </w:r>
            <w:r w:rsidR="00141033" w:rsidRPr="008354C2">
              <w:rPr>
                <w:rFonts w:ascii="Times New Roman" w:eastAsia="Calibri" w:hAnsi="Times New Roman" w:cs="Times New Roman"/>
                <w:sz w:val="28"/>
                <w:szCs w:val="28"/>
              </w:rPr>
              <w:t>7</w:t>
            </w:r>
          </w:p>
        </w:tc>
      </w:tr>
      <w:tr w:rsidR="00016721" w:rsidRPr="008354C2" w:rsidTr="009B4117">
        <w:tc>
          <w:tcPr>
            <w:tcW w:w="8934" w:type="dxa"/>
          </w:tcPr>
          <w:p w:rsidR="00016721" w:rsidRPr="008354C2" w:rsidRDefault="00016721"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2. </w:t>
            </w:r>
            <w:r w:rsidR="00B42BE3" w:rsidRPr="008354C2">
              <w:rPr>
                <w:rFonts w:ascii="Times New Roman" w:eastAsia="Calibri" w:hAnsi="Times New Roman" w:cs="Times New Roman"/>
                <w:sz w:val="28"/>
                <w:szCs w:val="28"/>
              </w:rPr>
              <w:t>Quy định phòng ngừa, hạn chế đối với các hành vi gian lận trong kinh doanh bảo hiểm</w:t>
            </w:r>
            <w:r w:rsidR="00C31D1B" w:rsidRPr="008354C2">
              <w:rPr>
                <w:rFonts w:ascii="Times New Roman" w:eastAsia="Calibri" w:hAnsi="Times New Roman" w:cs="Times New Roman"/>
                <w:sz w:val="28"/>
                <w:szCs w:val="28"/>
              </w:rPr>
              <w:t>…………………………</w:t>
            </w:r>
            <w:r w:rsidR="00B42BE3" w:rsidRPr="008354C2">
              <w:rPr>
                <w:rFonts w:ascii="Times New Roman" w:eastAsia="Calibri" w:hAnsi="Times New Roman" w:cs="Times New Roman"/>
                <w:sz w:val="28"/>
                <w:szCs w:val="28"/>
              </w:rPr>
              <w:t>…………………………………….</w:t>
            </w:r>
          </w:p>
        </w:tc>
        <w:tc>
          <w:tcPr>
            <w:tcW w:w="642" w:type="dxa"/>
            <w:shd w:val="clear" w:color="auto" w:fill="auto"/>
            <w:vAlign w:val="bottom"/>
          </w:tcPr>
          <w:p w:rsidR="00016721" w:rsidRPr="008354C2" w:rsidRDefault="00141033"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209</w:t>
            </w:r>
          </w:p>
        </w:tc>
      </w:tr>
      <w:tr w:rsidR="00016721" w:rsidRPr="008354C2" w:rsidTr="000657D8">
        <w:tc>
          <w:tcPr>
            <w:tcW w:w="8934" w:type="dxa"/>
          </w:tcPr>
          <w:p w:rsidR="00016721" w:rsidRPr="008354C2" w:rsidRDefault="00016721"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3. </w:t>
            </w:r>
            <w:r w:rsidR="00B42BE3" w:rsidRPr="008354C2">
              <w:rPr>
                <w:rFonts w:ascii="Times New Roman" w:eastAsia="Calibri" w:hAnsi="Times New Roman" w:cs="Times New Roman"/>
                <w:sz w:val="28"/>
                <w:szCs w:val="28"/>
              </w:rPr>
              <w:t>Quy định về giải quyết tranh chấp trong hoạt động kinh doanh bảo hiểm</w:t>
            </w:r>
            <w:r w:rsidR="00C31D1B" w:rsidRPr="008354C2">
              <w:rPr>
                <w:rFonts w:ascii="Times New Roman" w:eastAsia="Calibri" w:hAnsi="Times New Roman" w:cs="Times New Roman"/>
                <w:sz w:val="28"/>
                <w:szCs w:val="28"/>
              </w:rPr>
              <w:t>….</w:t>
            </w:r>
          </w:p>
        </w:tc>
        <w:tc>
          <w:tcPr>
            <w:tcW w:w="642" w:type="dxa"/>
            <w:shd w:val="clear" w:color="auto" w:fill="auto"/>
            <w:vAlign w:val="center"/>
          </w:tcPr>
          <w:p w:rsidR="00016721" w:rsidRPr="008354C2" w:rsidRDefault="00D927B6"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21</w:t>
            </w:r>
            <w:r w:rsidR="00141033" w:rsidRPr="008354C2">
              <w:rPr>
                <w:rFonts w:ascii="Times New Roman" w:eastAsia="Calibri" w:hAnsi="Times New Roman" w:cs="Times New Roman"/>
                <w:sz w:val="28"/>
                <w:szCs w:val="28"/>
              </w:rPr>
              <w:t>1</w:t>
            </w:r>
          </w:p>
        </w:tc>
      </w:tr>
      <w:tr w:rsidR="009274E0" w:rsidRPr="008354C2" w:rsidTr="009B4117">
        <w:tc>
          <w:tcPr>
            <w:tcW w:w="8934" w:type="dxa"/>
          </w:tcPr>
          <w:p w:rsidR="009274E0" w:rsidRPr="008354C2" w:rsidRDefault="009274E0" w:rsidP="008354C2">
            <w:pPr>
              <w:spacing w:before="120" w:after="0"/>
              <w:rPr>
                <w:rFonts w:ascii="Times New Roman" w:eastAsia="Calibri" w:hAnsi="Times New Roman" w:cs="Times New Roman"/>
                <w:b/>
                <w:sz w:val="28"/>
                <w:szCs w:val="28"/>
              </w:rPr>
            </w:pPr>
            <w:r w:rsidRPr="008354C2">
              <w:rPr>
                <w:rFonts w:ascii="Times New Roman" w:eastAsia="Calibri" w:hAnsi="Times New Roman" w:cs="Times New Roman"/>
                <w:b/>
                <w:sz w:val="28"/>
                <w:szCs w:val="28"/>
              </w:rPr>
              <w:t>VII. CHÍNH SÁCH 7: HOÀN THIỆN QUY ĐỊNH VỀ NÂNG CAO HIỆU LỰC, HIỆU QUẢ QUẢN LÝ NHÀ NƯỚC, ĐỒNG THỜI TẠO MÔI TRƯỜNG THUẬN LỢI CHO PHÁT TRIỂN BẢO HIỂM</w:t>
            </w:r>
            <w:r w:rsidR="00C31D1B" w:rsidRPr="008354C2">
              <w:rPr>
                <w:rFonts w:ascii="Times New Roman" w:eastAsia="Calibri" w:hAnsi="Times New Roman" w:cs="Times New Roman"/>
                <w:sz w:val="28"/>
                <w:szCs w:val="28"/>
              </w:rPr>
              <w:t>………...</w:t>
            </w:r>
          </w:p>
        </w:tc>
        <w:tc>
          <w:tcPr>
            <w:tcW w:w="642" w:type="dxa"/>
            <w:shd w:val="clear" w:color="auto" w:fill="auto"/>
            <w:vAlign w:val="bottom"/>
          </w:tcPr>
          <w:p w:rsidR="009274E0" w:rsidRPr="008354C2" w:rsidRDefault="00D927B6"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21</w:t>
            </w:r>
            <w:r w:rsidR="00830F94" w:rsidRPr="008354C2">
              <w:rPr>
                <w:rFonts w:ascii="Times New Roman" w:eastAsia="Calibri" w:hAnsi="Times New Roman" w:cs="Times New Roman"/>
                <w:sz w:val="28"/>
                <w:szCs w:val="28"/>
              </w:rPr>
              <w:t>6</w:t>
            </w:r>
          </w:p>
        </w:tc>
      </w:tr>
      <w:tr w:rsidR="009274E0" w:rsidRPr="008354C2" w:rsidTr="000657D8">
        <w:tc>
          <w:tcPr>
            <w:tcW w:w="8934" w:type="dxa"/>
          </w:tcPr>
          <w:p w:rsidR="009274E0" w:rsidRPr="008354C2" w:rsidRDefault="00D927B6"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1. Quy định liên quan đến thủ tục hành chính…………………………………</w:t>
            </w:r>
          </w:p>
        </w:tc>
        <w:tc>
          <w:tcPr>
            <w:tcW w:w="642" w:type="dxa"/>
            <w:shd w:val="clear" w:color="auto" w:fill="auto"/>
            <w:vAlign w:val="center"/>
          </w:tcPr>
          <w:p w:rsidR="009274E0" w:rsidRPr="008354C2" w:rsidRDefault="00D927B6"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21</w:t>
            </w:r>
            <w:r w:rsidR="00830F94" w:rsidRPr="008354C2">
              <w:rPr>
                <w:rFonts w:ascii="Times New Roman" w:eastAsia="Calibri" w:hAnsi="Times New Roman" w:cs="Times New Roman"/>
                <w:sz w:val="28"/>
                <w:szCs w:val="28"/>
              </w:rPr>
              <w:t>6</w:t>
            </w:r>
          </w:p>
        </w:tc>
      </w:tr>
      <w:tr w:rsidR="009274E0" w:rsidRPr="008354C2" w:rsidTr="009B4117">
        <w:tc>
          <w:tcPr>
            <w:tcW w:w="8934" w:type="dxa"/>
          </w:tcPr>
          <w:p w:rsidR="009274E0" w:rsidRPr="008354C2" w:rsidRDefault="00D927B6"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2. Quy định đối với nhóm nhiệm vụ, quyền hạn trong quá trình quản lý, giám sát, thanh tra, kiểm tra, xử lý vi phạm pháp luật về hoạt động kinh doanh bảo hiểm</w:t>
            </w:r>
            <w:r w:rsidR="00C31D1B" w:rsidRPr="008354C2">
              <w:rPr>
                <w:rFonts w:ascii="Times New Roman" w:eastAsia="Calibri" w:hAnsi="Times New Roman" w:cs="Times New Roman"/>
                <w:sz w:val="28"/>
                <w:szCs w:val="28"/>
              </w:rPr>
              <w:t>……</w:t>
            </w:r>
            <w:r w:rsidRPr="008354C2">
              <w:rPr>
                <w:rFonts w:ascii="Times New Roman" w:eastAsia="Calibri" w:hAnsi="Times New Roman" w:cs="Times New Roman"/>
                <w:sz w:val="28"/>
                <w:szCs w:val="28"/>
              </w:rPr>
              <w:t>………………………………………………………………………</w:t>
            </w:r>
          </w:p>
        </w:tc>
        <w:tc>
          <w:tcPr>
            <w:tcW w:w="642" w:type="dxa"/>
            <w:shd w:val="clear" w:color="auto" w:fill="auto"/>
            <w:vAlign w:val="bottom"/>
          </w:tcPr>
          <w:p w:rsidR="009274E0" w:rsidRPr="008354C2" w:rsidRDefault="00D927B6"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21</w:t>
            </w:r>
            <w:r w:rsidR="00830F94" w:rsidRPr="008354C2">
              <w:rPr>
                <w:rFonts w:ascii="Times New Roman" w:eastAsia="Calibri" w:hAnsi="Times New Roman" w:cs="Times New Roman"/>
                <w:sz w:val="28"/>
                <w:szCs w:val="28"/>
              </w:rPr>
              <w:t>6</w:t>
            </w:r>
          </w:p>
        </w:tc>
      </w:tr>
      <w:tr w:rsidR="009274E0" w:rsidRPr="008354C2" w:rsidTr="000657D8">
        <w:tc>
          <w:tcPr>
            <w:tcW w:w="8934" w:type="dxa"/>
          </w:tcPr>
          <w:p w:rsidR="008B718D" w:rsidRPr="008354C2" w:rsidRDefault="00D927B6"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3. Xây dựng cơ sở dữ liệu để phòng chống gian lận, trục lợi bảo hiểm</w:t>
            </w:r>
            <w:r w:rsidR="009E4134" w:rsidRPr="008354C2">
              <w:rPr>
                <w:rFonts w:ascii="Times New Roman" w:eastAsia="Calibri" w:hAnsi="Times New Roman" w:cs="Times New Roman"/>
                <w:sz w:val="28"/>
                <w:szCs w:val="28"/>
              </w:rPr>
              <w:t>……..</w:t>
            </w:r>
          </w:p>
        </w:tc>
        <w:tc>
          <w:tcPr>
            <w:tcW w:w="642" w:type="dxa"/>
            <w:shd w:val="clear" w:color="auto" w:fill="auto"/>
            <w:vAlign w:val="center"/>
          </w:tcPr>
          <w:p w:rsidR="008B718D" w:rsidRPr="008354C2" w:rsidRDefault="000657D8"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21</w:t>
            </w:r>
            <w:r w:rsidR="00830F94" w:rsidRPr="008354C2">
              <w:rPr>
                <w:rFonts w:ascii="Times New Roman" w:eastAsia="Calibri" w:hAnsi="Times New Roman" w:cs="Times New Roman"/>
                <w:sz w:val="28"/>
                <w:szCs w:val="28"/>
              </w:rPr>
              <w:t>7</w:t>
            </w:r>
          </w:p>
        </w:tc>
      </w:tr>
      <w:tr w:rsidR="000657D8" w:rsidRPr="008354C2" w:rsidTr="009B4117">
        <w:tc>
          <w:tcPr>
            <w:tcW w:w="8934" w:type="dxa"/>
          </w:tcPr>
          <w:p w:rsidR="000657D8" w:rsidRPr="008354C2" w:rsidRDefault="000657D8"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4. Quy định về các biện pháp can thiệp của cơ quan quản lý trong trường hợp doanh nghiệp bảo hiểm không đáp ứng yêu cầu về vốn trên cơ sở rủi ro……..</w:t>
            </w:r>
          </w:p>
        </w:tc>
        <w:tc>
          <w:tcPr>
            <w:tcW w:w="642" w:type="dxa"/>
            <w:shd w:val="clear" w:color="auto" w:fill="auto"/>
            <w:vAlign w:val="bottom"/>
          </w:tcPr>
          <w:p w:rsidR="000657D8" w:rsidRPr="008354C2" w:rsidRDefault="00830F94"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220</w:t>
            </w:r>
          </w:p>
        </w:tc>
      </w:tr>
      <w:tr w:rsidR="000657D8" w:rsidRPr="008354C2" w:rsidTr="009B4117">
        <w:tc>
          <w:tcPr>
            <w:tcW w:w="8934" w:type="dxa"/>
          </w:tcPr>
          <w:p w:rsidR="000657D8" w:rsidRPr="008354C2" w:rsidRDefault="000657D8" w:rsidP="008354C2">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5. Quy định về việc kết nối liên thông giữa bảo hiểm thương mại và bảo hiểm y tế xã hội……………………………………………………………………...</w:t>
            </w:r>
          </w:p>
        </w:tc>
        <w:tc>
          <w:tcPr>
            <w:tcW w:w="642" w:type="dxa"/>
            <w:shd w:val="clear" w:color="auto" w:fill="auto"/>
            <w:vAlign w:val="bottom"/>
          </w:tcPr>
          <w:p w:rsidR="000657D8" w:rsidRPr="008354C2" w:rsidRDefault="000657D8" w:rsidP="008354C2">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23</w:t>
            </w:r>
            <w:r w:rsidR="004908E6" w:rsidRPr="008354C2">
              <w:rPr>
                <w:rFonts w:ascii="Times New Roman" w:eastAsia="Calibri" w:hAnsi="Times New Roman" w:cs="Times New Roman"/>
                <w:sz w:val="28"/>
                <w:szCs w:val="28"/>
              </w:rPr>
              <w:t>1</w:t>
            </w:r>
          </w:p>
        </w:tc>
      </w:tr>
      <w:tr w:rsidR="009274E0" w:rsidRPr="008354C2" w:rsidTr="000657D8">
        <w:tc>
          <w:tcPr>
            <w:tcW w:w="8934" w:type="dxa"/>
          </w:tcPr>
          <w:p w:rsidR="009274E0" w:rsidRPr="008354C2" w:rsidRDefault="00C31D1B" w:rsidP="008354C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PHỤ LỤC: 26 NGUYÊN TẮC BẢO HIỂM CƠ BẢN CỦA HIỆP HỘI CÁC NHÀ QUẢN LÝ BẢO HIỂM QUỐC TẾ (IAIS)</w:t>
            </w:r>
          </w:p>
        </w:tc>
        <w:tc>
          <w:tcPr>
            <w:tcW w:w="642" w:type="dxa"/>
            <w:shd w:val="clear" w:color="auto" w:fill="auto"/>
            <w:vAlign w:val="center"/>
          </w:tcPr>
          <w:p w:rsidR="009274E0" w:rsidRPr="008354C2" w:rsidRDefault="009274E0" w:rsidP="008354C2">
            <w:pPr>
              <w:spacing w:before="120" w:after="0"/>
              <w:jc w:val="center"/>
              <w:rPr>
                <w:rFonts w:ascii="Times New Roman" w:eastAsia="Calibri" w:hAnsi="Times New Roman" w:cs="Times New Roman"/>
                <w:sz w:val="28"/>
                <w:szCs w:val="28"/>
              </w:rPr>
            </w:pPr>
          </w:p>
        </w:tc>
      </w:tr>
    </w:tbl>
    <w:p w:rsidR="00E41B32" w:rsidRPr="008354C2" w:rsidRDefault="00E41B32" w:rsidP="00E41B32">
      <w:pPr>
        <w:jc w:val="center"/>
        <w:rPr>
          <w:rFonts w:ascii="Times New Roman" w:hAnsi="Times New Roman" w:cs="Times New Roman"/>
        </w:rPr>
      </w:pPr>
    </w:p>
    <w:p w:rsidR="00E41B32" w:rsidRPr="008354C2" w:rsidRDefault="00E41B32" w:rsidP="00E41B32">
      <w:pPr>
        <w:jc w:val="center"/>
        <w:rPr>
          <w:rFonts w:ascii="Times New Roman" w:hAnsi="Times New Roman" w:cs="Times New Roman"/>
        </w:rPr>
      </w:pPr>
    </w:p>
    <w:p w:rsidR="00E41B32" w:rsidRPr="008354C2" w:rsidRDefault="00E41B32" w:rsidP="00E41B32">
      <w:pPr>
        <w:jc w:val="center"/>
        <w:rPr>
          <w:rFonts w:ascii="Times New Roman" w:hAnsi="Times New Roman" w:cs="Times New Roman"/>
        </w:rPr>
      </w:pPr>
      <w:bookmarkStart w:id="0" w:name="_GoBack"/>
      <w:bookmarkEnd w:id="0"/>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1F1AB3" w:rsidRPr="008354C2" w:rsidRDefault="001F1AB3" w:rsidP="004774EE">
      <w:pPr>
        <w:spacing w:after="120" w:line="259" w:lineRule="auto"/>
        <w:jc w:val="center"/>
        <w:rPr>
          <w:rFonts w:ascii="Times New Roman" w:eastAsia="Arial" w:hAnsi="Times New Roman" w:cs="Times New Roman"/>
          <w:b/>
          <w:sz w:val="28"/>
        </w:rPr>
        <w:sectPr w:rsidR="001F1AB3" w:rsidRPr="008354C2" w:rsidSect="00E02BF1">
          <w:footerReference w:type="default" r:id="rId8"/>
          <w:pgSz w:w="11907" w:h="16839" w:code="9"/>
          <w:pgMar w:top="1138" w:right="1138" w:bottom="1138" w:left="1699" w:header="720" w:footer="720" w:gutter="0"/>
          <w:cols w:space="720"/>
          <w:docGrid w:linePitch="360"/>
        </w:sectPr>
      </w:pPr>
    </w:p>
    <w:p w:rsidR="00DF0A17" w:rsidRPr="008354C2" w:rsidRDefault="00DF0A17" w:rsidP="004774EE">
      <w:pPr>
        <w:spacing w:after="120" w:line="259" w:lineRule="auto"/>
        <w:jc w:val="center"/>
        <w:rPr>
          <w:rFonts w:ascii="Times New Roman" w:eastAsia="Arial" w:hAnsi="Times New Roman" w:cs="Times New Roman"/>
          <w:b/>
          <w:sz w:val="28"/>
        </w:rPr>
      </w:pPr>
      <w:r w:rsidRPr="008354C2">
        <w:rPr>
          <w:rFonts w:ascii="Times New Roman" w:eastAsia="Arial" w:hAnsi="Times New Roman" w:cs="Times New Roman"/>
          <w:b/>
          <w:sz w:val="28"/>
        </w:rPr>
        <w:t>PHẦN MỞ ĐẦ</w:t>
      </w:r>
      <w:r w:rsidR="007745BC" w:rsidRPr="008354C2">
        <w:rPr>
          <w:rFonts w:ascii="Times New Roman" w:eastAsia="Arial" w:hAnsi="Times New Roman" w:cs="Times New Roman"/>
          <w:b/>
          <w:sz w:val="28"/>
        </w:rPr>
        <w:t>U</w:t>
      </w:r>
    </w:p>
    <w:p w:rsidR="004B41AF" w:rsidRPr="008354C2" w:rsidRDefault="004B41AF" w:rsidP="003A3C8B">
      <w:pPr>
        <w:tabs>
          <w:tab w:val="left" w:pos="851"/>
        </w:tabs>
        <w:spacing w:before="60" w:after="60"/>
        <w:ind w:firstLine="567"/>
        <w:jc w:val="both"/>
        <w:rPr>
          <w:rFonts w:ascii="Times New Roman" w:hAnsi="Times New Roman" w:cs="Times New Roman"/>
          <w:sz w:val="28"/>
          <w:szCs w:val="28"/>
        </w:rPr>
      </w:pPr>
      <w:r w:rsidRPr="008354C2">
        <w:rPr>
          <w:rFonts w:ascii="Times New Roman" w:hAnsi="Times New Roman" w:cs="Times New Roman"/>
          <w:sz w:val="28"/>
          <w:szCs w:val="28"/>
        </w:rPr>
        <w:t>Bản thuyết minh này xây dựng dựa trên 26 nguyên tắc bảo hiểm cơ bản của Hiệp hội các nhà quản lý bảo hiểm quốc tế (IAIS), và</w:t>
      </w:r>
      <w:r w:rsidRPr="008354C2">
        <w:rPr>
          <w:rFonts w:ascii="Times New Roman" w:hAnsi="Times New Roman" w:cs="Times New Roman"/>
          <w:b/>
          <w:sz w:val="28"/>
          <w:szCs w:val="28"/>
        </w:rPr>
        <w:t xml:space="preserve"> </w:t>
      </w:r>
      <w:r w:rsidRPr="008354C2">
        <w:rPr>
          <w:rFonts w:ascii="Times New Roman" w:hAnsi="Times New Roman" w:cs="Times New Roman"/>
          <w:sz w:val="28"/>
          <w:szCs w:val="28"/>
        </w:rPr>
        <w:t>nghiên cứu luật và các quy định về Hợp đồng bảo hiểm, kinh doanh bảo hiểm của một số nước thuộc các nhóm: (i) các nước ASEAN (Thái Lan, Philippines, Singapore, Malaysia); (ii) các nước Châu Á khác (Trung Quốc, Đài Loan, Hàn Quốc); và (iii) các nước phát triển (Mỹ, Đứ</w:t>
      </w:r>
      <w:r w:rsidR="00D12458" w:rsidRPr="008354C2">
        <w:rPr>
          <w:rFonts w:ascii="Times New Roman" w:hAnsi="Times New Roman" w:cs="Times New Roman"/>
          <w:sz w:val="28"/>
          <w:szCs w:val="28"/>
        </w:rPr>
        <w:t xml:space="preserve">c, Hà Lan, </w:t>
      </w:r>
      <w:r w:rsidRPr="008354C2">
        <w:rPr>
          <w:rFonts w:ascii="Times New Roman" w:hAnsi="Times New Roman" w:cs="Times New Roman"/>
          <w:sz w:val="28"/>
          <w:szCs w:val="28"/>
        </w:rPr>
        <w:t xml:space="preserve">Nhật Bản). Đây là nhóm các nước có những đặc điểm kinh tế đặc trưng riêng, đại diện cho nhóm các thị trường bảo hiểm ở các mức độ khác nhau. </w:t>
      </w:r>
    </w:p>
    <w:p w:rsidR="004B41AF" w:rsidRPr="008354C2" w:rsidRDefault="004B41AF" w:rsidP="003A3C8B">
      <w:pPr>
        <w:tabs>
          <w:tab w:val="left" w:pos="851"/>
        </w:tabs>
        <w:spacing w:before="60" w:after="60"/>
        <w:ind w:firstLine="567"/>
        <w:jc w:val="both"/>
        <w:rPr>
          <w:rFonts w:ascii="Times New Roman" w:hAnsi="Times New Roman" w:cs="Times New Roman"/>
          <w:sz w:val="28"/>
          <w:szCs w:val="28"/>
        </w:rPr>
      </w:pPr>
      <w:r w:rsidRPr="008354C2">
        <w:rPr>
          <w:rFonts w:ascii="Times New Roman" w:hAnsi="Times New Roman" w:cs="Times New Roman"/>
          <w:sz w:val="28"/>
          <w:szCs w:val="28"/>
        </w:rPr>
        <w:t xml:space="preserve">Nội dung của Bản thuyết minh bao gồm hai (02) phần, trong đó, </w:t>
      </w:r>
      <w:r w:rsidRPr="008354C2">
        <w:rPr>
          <w:rFonts w:ascii="Times New Roman" w:hAnsi="Times New Roman" w:cs="Times New Roman"/>
          <w:b/>
          <w:sz w:val="28"/>
          <w:szCs w:val="28"/>
        </w:rPr>
        <w:t xml:space="preserve">phần thứ nhất </w:t>
      </w:r>
      <w:r w:rsidRPr="008354C2">
        <w:rPr>
          <w:rFonts w:ascii="Times New Roman" w:hAnsi="Times New Roman" w:cs="Times New Roman"/>
          <w:sz w:val="28"/>
          <w:szCs w:val="28"/>
        </w:rPr>
        <w:t xml:space="preserve">là những đánh giá tổng quan luật về hoạt động kinh doanh bảo hiểm; và </w:t>
      </w:r>
      <w:r w:rsidRPr="008354C2">
        <w:rPr>
          <w:rFonts w:ascii="Times New Roman" w:hAnsi="Times New Roman" w:cs="Times New Roman"/>
          <w:b/>
          <w:sz w:val="28"/>
          <w:szCs w:val="28"/>
        </w:rPr>
        <w:t xml:space="preserve">phần thứ hai </w:t>
      </w:r>
      <w:r w:rsidRPr="008354C2">
        <w:rPr>
          <w:rFonts w:ascii="Times New Roman" w:hAnsi="Times New Roman" w:cs="Times New Roman"/>
          <w:sz w:val="28"/>
          <w:szCs w:val="28"/>
        </w:rPr>
        <w:t>tập trung nghiên cứu quy định cụ thể của các nước được khảo sát trên cơ sở 07 nội dung cơ bản dựa trên các nhóm chính sách đã được Chính phủ thông qua tại Đề nghị xây dựng Luật kinh doanh bảo hiểm (sửa đổi), cụ thể như sau:</w:t>
      </w:r>
    </w:p>
    <w:p w:rsidR="004B41AF" w:rsidRPr="008354C2" w:rsidRDefault="004B41AF" w:rsidP="003A3C8B">
      <w:pPr>
        <w:tabs>
          <w:tab w:val="left" w:pos="851"/>
          <w:tab w:val="left" w:pos="1080"/>
        </w:tabs>
        <w:spacing w:before="60" w:after="60"/>
        <w:jc w:val="both"/>
        <w:rPr>
          <w:rFonts w:ascii="Times New Roman" w:hAnsi="Times New Roman" w:cs="Times New Roman"/>
          <w:sz w:val="28"/>
          <w:szCs w:val="28"/>
        </w:rPr>
      </w:pPr>
      <w:r w:rsidRPr="008354C2">
        <w:rPr>
          <w:rFonts w:ascii="Times New Roman" w:hAnsi="Times New Roman" w:cs="Times New Roman"/>
          <w:sz w:val="28"/>
          <w:szCs w:val="28"/>
        </w:rPr>
        <w:t>Chính sách 1: Hoản thiện các qu</w:t>
      </w:r>
      <w:r w:rsidR="000572E5" w:rsidRPr="008354C2">
        <w:rPr>
          <w:rFonts w:ascii="Times New Roman" w:hAnsi="Times New Roman" w:cs="Times New Roman"/>
          <w:sz w:val="28"/>
          <w:szCs w:val="28"/>
        </w:rPr>
        <w:t>y</w:t>
      </w:r>
      <w:r w:rsidRPr="008354C2">
        <w:rPr>
          <w:rFonts w:ascii="Times New Roman" w:hAnsi="Times New Roman" w:cs="Times New Roman"/>
          <w:sz w:val="28"/>
          <w:szCs w:val="28"/>
        </w:rPr>
        <w:t xml:space="preserve"> định về mô hình tổ chức, điều kiện thành lập, hoạt động</w:t>
      </w:r>
    </w:p>
    <w:p w:rsidR="004B41AF" w:rsidRPr="008354C2" w:rsidRDefault="004B41AF" w:rsidP="003A3C8B">
      <w:pPr>
        <w:tabs>
          <w:tab w:val="left" w:pos="851"/>
          <w:tab w:val="left" w:pos="1080"/>
        </w:tabs>
        <w:spacing w:before="60" w:after="60"/>
        <w:jc w:val="both"/>
        <w:rPr>
          <w:rFonts w:ascii="Times New Roman" w:hAnsi="Times New Roman" w:cs="Times New Roman"/>
          <w:sz w:val="28"/>
          <w:szCs w:val="28"/>
        </w:rPr>
      </w:pPr>
      <w:r w:rsidRPr="008354C2">
        <w:rPr>
          <w:rFonts w:ascii="Times New Roman" w:hAnsi="Times New Roman" w:cs="Times New Roman"/>
          <w:sz w:val="28"/>
          <w:szCs w:val="28"/>
        </w:rPr>
        <w:t xml:space="preserve">Chính sách 2: </w:t>
      </w:r>
      <w:r w:rsidR="000572E5" w:rsidRPr="008354C2">
        <w:rPr>
          <w:rFonts w:ascii="Times New Roman" w:hAnsi="Times New Roman" w:cs="Times New Roman"/>
          <w:sz w:val="28"/>
          <w:szCs w:val="28"/>
        </w:rPr>
        <w:t>Hoàn thiện các quy định về mô hình tài chính đối với các doanh nghiệp bảo hiểm</w:t>
      </w:r>
    </w:p>
    <w:p w:rsidR="004B41AF" w:rsidRPr="008354C2" w:rsidRDefault="004B41AF" w:rsidP="003A3C8B">
      <w:pPr>
        <w:tabs>
          <w:tab w:val="left" w:pos="851"/>
          <w:tab w:val="left" w:pos="1080"/>
        </w:tabs>
        <w:spacing w:before="60" w:after="60"/>
        <w:jc w:val="both"/>
        <w:rPr>
          <w:rFonts w:ascii="Times New Roman" w:hAnsi="Times New Roman" w:cs="Times New Roman"/>
          <w:sz w:val="28"/>
          <w:szCs w:val="28"/>
        </w:rPr>
      </w:pPr>
      <w:r w:rsidRPr="008354C2">
        <w:rPr>
          <w:rFonts w:ascii="Times New Roman" w:hAnsi="Times New Roman" w:cs="Times New Roman"/>
          <w:sz w:val="28"/>
          <w:szCs w:val="28"/>
        </w:rPr>
        <w:t xml:space="preserve">Chính sách 3: </w:t>
      </w:r>
      <w:r w:rsidR="000572E5" w:rsidRPr="008354C2">
        <w:rPr>
          <w:rFonts w:ascii="Times New Roman" w:hAnsi="Times New Roman" w:cs="Times New Roman"/>
          <w:sz w:val="28"/>
          <w:szCs w:val="28"/>
        </w:rPr>
        <w:t>Hoàn thiện chế định hợp đồng bảo hiểm, bảo đảm nguyên tắc bình đẳng, minh bạch và an toàn cho các giao dịch bảo hiểm</w:t>
      </w:r>
    </w:p>
    <w:p w:rsidR="004B41AF" w:rsidRPr="008354C2" w:rsidRDefault="00D12458" w:rsidP="003A3C8B">
      <w:pPr>
        <w:tabs>
          <w:tab w:val="left" w:pos="851"/>
          <w:tab w:val="left" w:pos="1080"/>
        </w:tabs>
        <w:spacing w:before="60" w:after="60"/>
        <w:jc w:val="both"/>
        <w:rPr>
          <w:rFonts w:ascii="Times New Roman" w:hAnsi="Times New Roman" w:cs="Times New Roman"/>
          <w:sz w:val="28"/>
          <w:szCs w:val="28"/>
        </w:rPr>
      </w:pPr>
      <w:r w:rsidRPr="008354C2">
        <w:rPr>
          <w:rFonts w:ascii="Times New Roman" w:hAnsi="Times New Roman" w:cs="Times New Roman"/>
          <w:sz w:val="28"/>
          <w:szCs w:val="28"/>
        </w:rPr>
        <w:t xml:space="preserve">Chính sách 4: </w:t>
      </w:r>
      <w:r w:rsidR="000572E5" w:rsidRPr="008354C2">
        <w:rPr>
          <w:rFonts w:ascii="Times New Roman" w:hAnsi="Times New Roman" w:cs="Times New Roman"/>
          <w:sz w:val="28"/>
          <w:szCs w:val="28"/>
        </w:rPr>
        <w:t>Khuyến khích sử dụng, ứng dụng công nghệ thông tin, nhằm chuẩn mực hóa các hoạt động và giao dịch bảo hiểm trên thị trường, nâng cao hiệu quả hoạt động bảo hiểm</w:t>
      </w:r>
    </w:p>
    <w:p w:rsidR="004B41AF" w:rsidRPr="008354C2" w:rsidRDefault="004B41AF" w:rsidP="003A3C8B">
      <w:pPr>
        <w:tabs>
          <w:tab w:val="left" w:pos="851"/>
          <w:tab w:val="left" w:pos="1080"/>
        </w:tabs>
        <w:spacing w:before="60" w:after="60"/>
        <w:jc w:val="both"/>
        <w:rPr>
          <w:rFonts w:ascii="Times New Roman" w:hAnsi="Times New Roman" w:cs="Times New Roman"/>
          <w:sz w:val="28"/>
          <w:szCs w:val="28"/>
        </w:rPr>
      </w:pPr>
      <w:r w:rsidRPr="008354C2">
        <w:rPr>
          <w:rFonts w:ascii="Times New Roman" w:hAnsi="Times New Roman" w:cs="Times New Roman"/>
          <w:sz w:val="28"/>
          <w:szCs w:val="28"/>
        </w:rPr>
        <w:t>Chính sách 5:</w:t>
      </w:r>
      <w:r w:rsidR="00D12458" w:rsidRPr="008354C2">
        <w:rPr>
          <w:rFonts w:ascii="Times New Roman" w:hAnsi="Times New Roman" w:cs="Times New Roman"/>
          <w:sz w:val="28"/>
          <w:szCs w:val="28"/>
        </w:rPr>
        <w:t xml:space="preserve"> Bổ sung, hoàn thiện các quy định về phát triển và nâng cao chất lượng nguồn nhân lực trong lĩnh vực kinh doanh bảo hiểm</w:t>
      </w:r>
      <w:r w:rsidRPr="008354C2">
        <w:rPr>
          <w:rFonts w:ascii="Times New Roman" w:hAnsi="Times New Roman" w:cs="Times New Roman"/>
          <w:sz w:val="28"/>
          <w:szCs w:val="28"/>
        </w:rPr>
        <w:t xml:space="preserve"> </w:t>
      </w:r>
    </w:p>
    <w:p w:rsidR="004B41AF" w:rsidRPr="008354C2" w:rsidRDefault="004B41AF" w:rsidP="003A3C8B">
      <w:pPr>
        <w:tabs>
          <w:tab w:val="left" w:pos="851"/>
          <w:tab w:val="left" w:pos="1080"/>
        </w:tabs>
        <w:spacing w:before="60" w:after="60"/>
        <w:jc w:val="both"/>
        <w:rPr>
          <w:rFonts w:ascii="Times New Roman" w:hAnsi="Times New Roman" w:cs="Times New Roman"/>
          <w:sz w:val="28"/>
          <w:szCs w:val="28"/>
        </w:rPr>
      </w:pPr>
      <w:r w:rsidRPr="008354C2">
        <w:rPr>
          <w:rFonts w:ascii="Times New Roman" w:hAnsi="Times New Roman" w:cs="Times New Roman"/>
          <w:sz w:val="28"/>
          <w:szCs w:val="28"/>
        </w:rPr>
        <w:t>Chính sách 6:</w:t>
      </w:r>
      <w:r w:rsidR="00D12458" w:rsidRPr="008354C2">
        <w:rPr>
          <w:rFonts w:ascii="Times New Roman" w:hAnsi="Times New Roman" w:cs="Times New Roman"/>
          <w:sz w:val="28"/>
          <w:szCs w:val="28"/>
        </w:rPr>
        <w:t xml:space="preserve"> Hoàn thiện các quy định về bảo đảm an toàn, đề phòng hạn chế tổn thất, phòng ngừa gian lận bảo hiểm, nâng cao hiệu quả giải quyết tranh chấp</w:t>
      </w:r>
      <w:r w:rsidRPr="008354C2">
        <w:rPr>
          <w:rFonts w:ascii="Times New Roman" w:hAnsi="Times New Roman" w:cs="Times New Roman"/>
          <w:sz w:val="28"/>
          <w:szCs w:val="28"/>
        </w:rPr>
        <w:t xml:space="preserve"> </w:t>
      </w:r>
    </w:p>
    <w:p w:rsidR="004B41AF" w:rsidRPr="008354C2" w:rsidRDefault="004B41AF" w:rsidP="003A3C8B">
      <w:pPr>
        <w:tabs>
          <w:tab w:val="left" w:pos="851"/>
          <w:tab w:val="left" w:pos="1080"/>
        </w:tabs>
        <w:spacing w:before="60" w:after="60"/>
        <w:jc w:val="both"/>
        <w:rPr>
          <w:rFonts w:ascii="Times New Roman" w:hAnsi="Times New Roman" w:cs="Times New Roman"/>
          <w:sz w:val="28"/>
          <w:szCs w:val="28"/>
        </w:rPr>
      </w:pPr>
      <w:r w:rsidRPr="008354C2">
        <w:rPr>
          <w:rFonts w:ascii="Times New Roman" w:hAnsi="Times New Roman" w:cs="Times New Roman"/>
          <w:sz w:val="28"/>
          <w:szCs w:val="28"/>
        </w:rPr>
        <w:t xml:space="preserve">Chính sách 7: </w:t>
      </w:r>
      <w:r w:rsidR="000C1945" w:rsidRPr="008354C2">
        <w:rPr>
          <w:rFonts w:ascii="Times New Roman" w:hAnsi="Times New Roman" w:cs="Times New Roman"/>
          <w:sz w:val="28"/>
          <w:szCs w:val="28"/>
        </w:rPr>
        <w:t>Hoàn thiện quy định về nâng cao hiệu lực, hiệu quả quản lý nhà nước, đồng thời tạo môi trường thuận lợi cho phát triển bảo hiểm</w:t>
      </w:r>
    </w:p>
    <w:p w:rsidR="004B41AF" w:rsidRPr="008354C2" w:rsidRDefault="004B41AF" w:rsidP="003A3C8B">
      <w:pPr>
        <w:tabs>
          <w:tab w:val="left" w:pos="540"/>
          <w:tab w:val="left" w:pos="1080"/>
        </w:tabs>
        <w:spacing w:before="60" w:after="60"/>
        <w:jc w:val="both"/>
        <w:rPr>
          <w:rFonts w:ascii="Times New Roman" w:hAnsi="Times New Roman" w:cs="Times New Roman"/>
          <w:sz w:val="28"/>
          <w:szCs w:val="28"/>
        </w:rPr>
      </w:pPr>
      <w:r w:rsidRPr="008354C2">
        <w:rPr>
          <w:rFonts w:ascii="Times New Roman" w:hAnsi="Times New Roman" w:cs="Times New Roman"/>
          <w:sz w:val="28"/>
          <w:szCs w:val="28"/>
        </w:rPr>
        <w:tab/>
        <w:t xml:space="preserve">Việc xây dựng Luật </w:t>
      </w:r>
      <w:r w:rsidR="00AA5BDB" w:rsidRPr="008354C2">
        <w:rPr>
          <w:rFonts w:ascii="Times New Roman" w:hAnsi="Times New Roman" w:cs="Times New Roman"/>
          <w:sz w:val="28"/>
          <w:szCs w:val="28"/>
        </w:rPr>
        <w:t>Kinh doanh bảo hiểm</w:t>
      </w:r>
      <w:r w:rsidRPr="008354C2">
        <w:rPr>
          <w:rFonts w:ascii="Times New Roman" w:hAnsi="Times New Roman" w:cs="Times New Roman"/>
          <w:sz w:val="28"/>
          <w:szCs w:val="28"/>
        </w:rPr>
        <w:t xml:space="preserve"> (sửa đổi) hướng tới theo thông lệ quốc tế nhằm hoàn thiện thể chế, ổn định môi trường pháp lý cho sự phát triển của </w:t>
      </w:r>
      <w:r w:rsidR="00AA5BDB" w:rsidRPr="008354C2">
        <w:rPr>
          <w:rFonts w:ascii="Times New Roman" w:hAnsi="Times New Roman" w:cs="Times New Roman"/>
          <w:sz w:val="28"/>
          <w:szCs w:val="28"/>
        </w:rPr>
        <w:t>hoạt động kinh doanh bảo hiển</w:t>
      </w:r>
      <w:r w:rsidRPr="008354C2">
        <w:rPr>
          <w:rFonts w:ascii="Times New Roman" w:hAnsi="Times New Roman" w:cs="Times New Roman"/>
          <w:sz w:val="28"/>
          <w:szCs w:val="28"/>
        </w:rPr>
        <w:t xml:space="preserve">, đáp ứng yêu cầu hội nhập, nâng cao hiệu quả công tác quản lý nhà nước đối với </w:t>
      </w:r>
      <w:r w:rsidR="00AA5BDB" w:rsidRPr="008354C2">
        <w:rPr>
          <w:rFonts w:ascii="Times New Roman" w:hAnsi="Times New Roman" w:cs="Times New Roman"/>
          <w:sz w:val="28"/>
          <w:szCs w:val="28"/>
        </w:rPr>
        <w:t xml:space="preserve">thị trường bảo hiểm, </w:t>
      </w:r>
      <w:r w:rsidRPr="008354C2">
        <w:rPr>
          <w:rFonts w:ascii="Times New Roman" w:hAnsi="Times New Roman" w:cs="Times New Roman"/>
          <w:sz w:val="28"/>
          <w:szCs w:val="28"/>
        </w:rPr>
        <w:t>bảo đảm</w:t>
      </w:r>
      <w:r w:rsidR="00AA5BDB" w:rsidRPr="008354C2">
        <w:rPr>
          <w:rFonts w:ascii="Times New Roman" w:hAnsi="Times New Roman" w:cs="Times New Roman"/>
          <w:sz w:val="28"/>
          <w:szCs w:val="28"/>
        </w:rPr>
        <w:t xml:space="preserve"> cho thị trường bảo hiểm phát triển an toàn, bền vững. Góp phần</w:t>
      </w:r>
      <w:r w:rsidRPr="008354C2">
        <w:rPr>
          <w:rFonts w:ascii="Times New Roman" w:hAnsi="Times New Roman" w:cs="Times New Roman"/>
          <w:sz w:val="28"/>
          <w:szCs w:val="28"/>
        </w:rPr>
        <w:t xml:space="preserve"> ổn định kinh tế vĩ mô, sự an toàn của hệ thống tài chính</w:t>
      </w:r>
      <w:r w:rsidR="00AA5BDB" w:rsidRPr="008354C2">
        <w:rPr>
          <w:rFonts w:ascii="Times New Roman" w:hAnsi="Times New Roman" w:cs="Times New Roman"/>
          <w:sz w:val="28"/>
          <w:szCs w:val="28"/>
        </w:rPr>
        <w:t>.</w:t>
      </w:r>
      <w:r w:rsidRPr="008354C2">
        <w:rPr>
          <w:rFonts w:ascii="Times New Roman" w:hAnsi="Times New Roman" w:cs="Times New Roman"/>
          <w:sz w:val="28"/>
          <w:szCs w:val="28"/>
        </w:rPr>
        <w:t xml:space="preserve"> </w:t>
      </w:r>
    </w:p>
    <w:p w:rsidR="00DF0A17" w:rsidRPr="008354C2" w:rsidRDefault="00DF0A17" w:rsidP="004774EE">
      <w:pPr>
        <w:spacing w:after="120" w:line="259" w:lineRule="auto"/>
        <w:jc w:val="center"/>
        <w:rPr>
          <w:rFonts w:ascii="Times New Roman" w:eastAsia="Arial" w:hAnsi="Times New Roman" w:cs="Times New Roman"/>
          <w:b/>
          <w:sz w:val="28"/>
        </w:rPr>
      </w:pPr>
    </w:p>
    <w:p w:rsidR="004774EE" w:rsidRPr="008354C2" w:rsidRDefault="004774EE" w:rsidP="004774EE">
      <w:pPr>
        <w:spacing w:after="120" w:line="259" w:lineRule="auto"/>
        <w:jc w:val="center"/>
        <w:rPr>
          <w:rFonts w:ascii="Times New Roman" w:eastAsia="Arial" w:hAnsi="Times New Roman" w:cs="Times New Roman"/>
          <w:b/>
          <w:sz w:val="28"/>
        </w:rPr>
      </w:pPr>
      <w:r w:rsidRPr="008354C2">
        <w:rPr>
          <w:rFonts w:ascii="Times New Roman" w:eastAsia="Arial" w:hAnsi="Times New Roman" w:cs="Times New Roman"/>
          <w:b/>
          <w:sz w:val="28"/>
        </w:rPr>
        <w:t>DANH MỤC TỪ VIẾT TẮT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4774EE" w:rsidRPr="008354C2" w:rsidTr="00E02BF1">
        <w:tc>
          <w:tcPr>
            <w:tcW w:w="4643" w:type="dxa"/>
          </w:tcPr>
          <w:p w:rsidR="004774EE" w:rsidRPr="008354C2" w:rsidRDefault="004774EE" w:rsidP="00E02BF1">
            <w:pPr>
              <w:spacing w:before="120" w:after="120"/>
              <w:rPr>
                <w:rFonts w:ascii="Times New Roman" w:eastAsia="Arial" w:hAnsi="Times New Roman" w:cs="Times New Roman"/>
                <w:b/>
                <w:sz w:val="28"/>
              </w:rPr>
            </w:pPr>
            <w:r w:rsidRPr="008354C2">
              <w:rPr>
                <w:rFonts w:ascii="Times New Roman" w:eastAsia="Arial" w:hAnsi="Times New Roman" w:cs="Times New Roman"/>
                <w:b/>
                <w:sz w:val="28"/>
              </w:rPr>
              <w:t>DNBH</w:t>
            </w:r>
          </w:p>
        </w:tc>
        <w:tc>
          <w:tcPr>
            <w:tcW w:w="4644" w:type="dxa"/>
          </w:tcPr>
          <w:p w:rsidR="004774EE" w:rsidRPr="008354C2" w:rsidRDefault="004774EE" w:rsidP="00E02BF1">
            <w:pPr>
              <w:spacing w:before="120" w:after="120"/>
              <w:jc w:val="both"/>
              <w:rPr>
                <w:rFonts w:ascii="Times New Roman" w:eastAsia="Arial" w:hAnsi="Times New Roman" w:cs="Times New Roman"/>
                <w:b/>
                <w:sz w:val="28"/>
              </w:rPr>
            </w:pPr>
            <w:r w:rsidRPr="008354C2">
              <w:rPr>
                <w:rFonts w:ascii="Times New Roman" w:eastAsia="Arial" w:hAnsi="Times New Roman" w:cs="Times New Roman"/>
                <w:b/>
                <w:sz w:val="28"/>
              </w:rPr>
              <w:t>Doanh nghiệp bảo hiểm</w:t>
            </w:r>
          </w:p>
        </w:tc>
      </w:tr>
      <w:tr w:rsidR="0066581A" w:rsidRPr="008354C2" w:rsidTr="00E02BF1">
        <w:tc>
          <w:tcPr>
            <w:tcW w:w="4643" w:type="dxa"/>
          </w:tcPr>
          <w:p w:rsidR="0066581A" w:rsidRPr="008354C2" w:rsidRDefault="0066581A" w:rsidP="00E02BF1">
            <w:pPr>
              <w:spacing w:before="120" w:after="120"/>
              <w:rPr>
                <w:rFonts w:ascii="Times New Roman" w:eastAsia="Arial" w:hAnsi="Times New Roman" w:cs="Times New Roman"/>
                <w:b/>
                <w:sz w:val="28"/>
              </w:rPr>
            </w:pPr>
            <w:r w:rsidRPr="008354C2">
              <w:rPr>
                <w:rFonts w:ascii="Times New Roman" w:eastAsia="Arial" w:hAnsi="Times New Roman" w:cs="Times New Roman"/>
                <w:b/>
                <w:sz w:val="28"/>
              </w:rPr>
              <w:t>DNMGBH</w:t>
            </w:r>
          </w:p>
        </w:tc>
        <w:tc>
          <w:tcPr>
            <w:tcW w:w="4644" w:type="dxa"/>
          </w:tcPr>
          <w:p w:rsidR="0066581A" w:rsidRPr="008354C2" w:rsidRDefault="0066581A" w:rsidP="00E02BF1">
            <w:pPr>
              <w:spacing w:before="120" w:after="120"/>
              <w:jc w:val="both"/>
              <w:rPr>
                <w:rFonts w:ascii="Times New Roman" w:eastAsia="Arial" w:hAnsi="Times New Roman" w:cs="Times New Roman"/>
                <w:b/>
                <w:sz w:val="28"/>
              </w:rPr>
            </w:pPr>
            <w:r w:rsidRPr="008354C2">
              <w:rPr>
                <w:rFonts w:ascii="Times New Roman" w:eastAsia="Arial" w:hAnsi="Times New Roman" w:cs="Times New Roman"/>
                <w:b/>
                <w:sz w:val="28"/>
              </w:rPr>
              <w:t>Doanh nghiệp môi giới bảo hiểm</w:t>
            </w:r>
          </w:p>
        </w:tc>
      </w:tr>
      <w:tr w:rsidR="004774EE" w:rsidRPr="008354C2" w:rsidTr="00E02BF1">
        <w:tc>
          <w:tcPr>
            <w:tcW w:w="4643" w:type="dxa"/>
          </w:tcPr>
          <w:p w:rsidR="004774EE" w:rsidRPr="008354C2" w:rsidRDefault="004774EE" w:rsidP="00E02BF1">
            <w:pPr>
              <w:spacing w:before="120" w:after="120"/>
              <w:rPr>
                <w:rFonts w:ascii="Times New Roman" w:eastAsia="Arial" w:hAnsi="Times New Roman" w:cs="Times New Roman"/>
                <w:b/>
                <w:sz w:val="28"/>
              </w:rPr>
            </w:pPr>
            <w:r w:rsidRPr="008354C2">
              <w:rPr>
                <w:rFonts w:ascii="Times New Roman" w:eastAsia="Arial" w:hAnsi="Times New Roman" w:cs="Times New Roman"/>
                <w:b/>
                <w:sz w:val="28"/>
              </w:rPr>
              <w:t>KNTT</w:t>
            </w:r>
          </w:p>
        </w:tc>
        <w:tc>
          <w:tcPr>
            <w:tcW w:w="4644" w:type="dxa"/>
          </w:tcPr>
          <w:p w:rsidR="004774EE" w:rsidRPr="008354C2" w:rsidRDefault="004774EE" w:rsidP="00E02BF1">
            <w:pPr>
              <w:spacing w:before="120" w:after="120"/>
              <w:jc w:val="both"/>
              <w:rPr>
                <w:rFonts w:ascii="Times New Roman" w:eastAsia="Arial" w:hAnsi="Times New Roman" w:cs="Times New Roman"/>
                <w:b/>
                <w:sz w:val="28"/>
              </w:rPr>
            </w:pPr>
            <w:r w:rsidRPr="008354C2">
              <w:rPr>
                <w:rFonts w:ascii="Times New Roman" w:eastAsia="Arial" w:hAnsi="Times New Roman" w:cs="Times New Roman"/>
                <w:b/>
                <w:sz w:val="28"/>
              </w:rPr>
              <w:t>Khả năng thanh toán</w:t>
            </w:r>
          </w:p>
        </w:tc>
      </w:tr>
      <w:tr w:rsidR="004774EE" w:rsidRPr="008354C2" w:rsidTr="00E02BF1">
        <w:tc>
          <w:tcPr>
            <w:tcW w:w="4643" w:type="dxa"/>
          </w:tcPr>
          <w:p w:rsidR="004774EE" w:rsidRPr="008354C2" w:rsidRDefault="004774EE" w:rsidP="00E02BF1">
            <w:pPr>
              <w:spacing w:before="120" w:after="120"/>
              <w:rPr>
                <w:rFonts w:ascii="Times New Roman" w:eastAsia="Arial" w:hAnsi="Times New Roman" w:cs="Times New Roman"/>
                <w:b/>
                <w:sz w:val="28"/>
              </w:rPr>
            </w:pPr>
            <w:r w:rsidRPr="008354C2">
              <w:rPr>
                <w:rFonts w:ascii="Times New Roman" w:eastAsia="Arial" w:hAnsi="Times New Roman" w:cs="Times New Roman"/>
                <w:b/>
                <w:sz w:val="28"/>
              </w:rPr>
              <w:t>CQQL</w:t>
            </w:r>
          </w:p>
        </w:tc>
        <w:tc>
          <w:tcPr>
            <w:tcW w:w="4644" w:type="dxa"/>
          </w:tcPr>
          <w:p w:rsidR="004774EE" w:rsidRPr="008354C2" w:rsidRDefault="004774EE" w:rsidP="00E02BF1">
            <w:pPr>
              <w:spacing w:before="120" w:after="120"/>
              <w:jc w:val="both"/>
              <w:rPr>
                <w:rFonts w:ascii="Times New Roman" w:eastAsia="Arial" w:hAnsi="Times New Roman" w:cs="Times New Roman"/>
                <w:b/>
                <w:sz w:val="28"/>
              </w:rPr>
            </w:pPr>
            <w:r w:rsidRPr="008354C2">
              <w:rPr>
                <w:rFonts w:ascii="Times New Roman" w:eastAsia="Arial" w:hAnsi="Times New Roman" w:cs="Times New Roman"/>
                <w:b/>
                <w:sz w:val="28"/>
              </w:rPr>
              <w:t>Cơ quan quản lý</w:t>
            </w:r>
          </w:p>
        </w:tc>
      </w:tr>
      <w:tr w:rsidR="009966D3" w:rsidRPr="008354C2" w:rsidTr="00E02BF1">
        <w:tc>
          <w:tcPr>
            <w:tcW w:w="4643" w:type="dxa"/>
          </w:tcPr>
          <w:p w:rsidR="009966D3" w:rsidRPr="008354C2" w:rsidRDefault="009966D3" w:rsidP="00E02BF1">
            <w:pPr>
              <w:spacing w:before="120" w:after="120"/>
              <w:rPr>
                <w:rFonts w:ascii="Times New Roman" w:eastAsia="Arial" w:hAnsi="Times New Roman" w:cs="Times New Roman"/>
                <w:b/>
                <w:sz w:val="28"/>
              </w:rPr>
            </w:pPr>
            <w:r w:rsidRPr="008354C2">
              <w:rPr>
                <w:rFonts w:ascii="Times New Roman" w:eastAsia="Arial" w:hAnsi="Times New Roman" w:cs="Times New Roman"/>
                <w:b/>
                <w:sz w:val="28"/>
              </w:rPr>
              <w:t>IAIS</w:t>
            </w:r>
          </w:p>
        </w:tc>
        <w:tc>
          <w:tcPr>
            <w:tcW w:w="4644" w:type="dxa"/>
          </w:tcPr>
          <w:p w:rsidR="009966D3" w:rsidRPr="008354C2" w:rsidRDefault="009966D3" w:rsidP="00E02BF1">
            <w:pPr>
              <w:spacing w:before="120" w:after="120"/>
              <w:jc w:val="both"/>
              <w:rPr>
                <w:rFonts w:ascii="Times New Roman" w:eastAsia="Arial" w:hAnsi="Times New Roman" w:cs="Times New Roman"/>
                <w:b/>
                <w:sz w:val="28"/>
              </w:rPr>
            </w:pPr>
            <w:r w:rsidRPr="008354C2">
              <w:rPr>
                <w:rFonts w:ascii="Times New Roman" w:eastAsia="Arial" w:hAnsi="Times New Roman" w:cs="Times New Roman"/>
                <w:b/>
                <w:sz w:val="28"/>
              </w:rPr>
              <w:t xml:space="preserve">Hiệp hội các </w:t>
            </w:r>
            <w:r w:rsidR="008356D3" w:rsidRPr="008354C2">
              <w:rPr>
                <w:rFonts w:ascii="Times New Roman" w:eastAsia="Arial" w:hAnsi="Times New Roman" w:cs="Times New Roman"/>
                <w:b/>
                <w:sz w:val="28"/>
              </w:rPr>
              <w:t>nhà quản lý</w:t>
            </w:r>
            <w:r w:rsidRPr="008354C2">
              <w:rPr>
                <w:rFonts w:ascii="Times New Roman" w:eastAsia="Arial" w:hAnsi="Times New Roman" w:cs="Times New Roman"/>
                <w:b/>
                <w:sz w:val="28"/>
              </w:rPr>
              <w:t xml:space="preserve"> bảo hiểm</w:t>
            </w:r>
            <w:r w:rsidR="008356D3" w:rsidRPr="008354C2">
              <w:rPr>
                <w:rFonts w:ascii="Times New Roman" w:eastAsia="Arial" w:hAnsi="Times New Roman" w:cs="Times New Roman"/>
                <w:b/>
                <w:sz w:val="28"/>
              </w:rPr>
              <w:t xml:space="preserve"> quốc tế</w:t>
            </w:r>
          </w:p>
        </w:tc>
      </w:tr>
      <w:tr w:rsidR="00302D90" w:rsidRPr="008354C2" w:rsidTr="00E02BF1">
        <w:tc>
          <w:tcPr>
            <w:tcW w:w="4643" w:type="dxa"/>
          </w:tcPr>
          <w:p w:rsidR="00302D90" w:rsidRPr="008354C2" w:rsidRDefault="00302D90" w:rsidP="00E02BF1">
            <w:pPr>
              <w:spacing w:before="120" w:after="120"/>
              <w:rPr>
                <w:rFonts w:ascii="Times New Roman" w:eastAsia="Arial" w:hAnsi="Times New Roman" w:cs="Times New Roman"/>
                <w:b/>
                <w:sz w:val="28"/>
              </w:rPr>
            </w:pPr>
            <w:r w:rsidRPr="008354C2">
              <w:rPr>
                <w:rFonts w:ascii="Times New Roman" w:eastAsia="Arial" w:hAnsi="Times New Roman" w:cs="Times New Roman"/>
                <w:b/>
                <w:sz w:val="28"/>
              </w:rPr>
              <w:t>CSDL</w:t>
            </w:r>
          </w:p>
        </w:tc>
        <w:tc>
          <w:tcPr>
            <w:tcW w:w="4644" w:type="dxa"/>
          </w:tcPr>
          <w:p w:rsidR="00302D90" w:rsidRPr="008354C2" w:rsidRDefault="00302D90" w:rsidP="00E02BF1">
            <w:pPr>
              <w:spacing w:before="120" w:after="120"/>
              <w:jc w:val="both"/>
              <w:rPr>
                <w:rFonts w:ascii="Times New Roman" w:eastAsia="Arial" w:hAnsi="Times New Roman" w:cs="Times New Roman"/>
                <w:b/>
                <w:sz w:val="28"/>
              </w:rPr>
            </w:pPr>
            <w:r w:rsidRPr="008354C2">
              <w:rPr>
                <w:rFonts w:ascii="Times New Roman" w:eastAsia="Arial" w:hAnsi="Times New Roman" w:cs="Times New Roman"/>
                <w:b/>
                <w:sz w:val="28"/>
              </w:rPr>
              <w:t>Cơ sở dữ liệu</w:t>
            </w:r>
          </w:p>
        </w:tc>
      </w:tr>
      <w:tr w:rsidR="00B9354E" w:rsidRPr="008354C2" w:rsidTr="00E02BF1">
        <w:tc>
          <w:tcPr>
            <w:tcW w:w="4643" w:type="dxa"/>
          </w:tcPr>
          <w:p w:rsidR="00B9354E" w:rsidRPr="008354C2" w:rsidRDefault="00B9354E" w:rsidP="00E02BF1">
            <w:pPr>
              <w:spacing w:before="120" w:after="120"/>
              <w:rPr>
                <w:rFonts w:ascii="Times New Roman" w:eastAsia="Arial" w:hAnsi="Times New Roman" w:cs="Times New Roman"/>
                <w:b/>
                <w:sz w:val="28"/>
              </w:rPr>
            </w:pPr>
            <w:r w:rsidRPr="008354C2">
              <w:rPr>
                <w:rFonts w:ascii="Times New Roman" w:eastAsia="Arial" w:hAnsi="Times New Roman" w:cs="Times New Roman"/>
                <w:b/>
                <w:sz w:val="28"/>
              </w:rPr>
              <w:t>BHSK</w:t>
            </w:r>
          </w:p>
        </w:tc>
        <w:tc>
          <w:tcPr>
            <w:tcW w:w="4644" w:type="dxa"/>
          </w:tcPr>
          <w:p w:rsidR="00B9354E" w:rsidRPr="008354C2" w:rsidRDefault="00B9354E" w:rsidP="00E02BF1">
            <w:pPr>
              <w:spacing w:before="120" w:after="120"/>
              <w:jc w:val="both"/>
              <w:rPr>
                <w:rFonts w:ascii="Times New Roman" w:eastAsia="Arial" w:hAnsi="Times New Roman" w:cs="Times New Roman"/>
                <w:b/>
                <w:sz w:val="28"/>
              </w:rPr>
            </w:pPr>
            <w:r w:rsidRPr="008354C2">
              <w:rPr>
                <w:rFonts w:ascii="Times New Roman" w:eastAsia="Arial" w:hAnsi="Times New Roman" w:cs="Times New Roman"/>
                <w:b/>
                <w:sz w:val="28"/>
              </w:rPr>
              <w:t>Bảo hiểm sức khỏe</w:t>
            </w:r>
          </w:p>
        </w:tc>
      </w:tr>
      <w:tr w:rsidR="00B9354E" w:rsidRPr="008354C2" w:rsidTr="00E02BF1">
        <w:tc>
          <w:tcPr>
            <w:tcW w:w="4643" w:type="dxa"/>
          </w:tcPr>
          <w:p w:rsidR="00B9354E" w:rsidRPr="008354C2" w:rsidRDefault="00B9354E" w:rsidP="00E02BF1">
            <w:pPr>
              <w:spacing w:before="120" w:after="120"/>
              <w:rPr>
                <w:rFonts w:ascii="Times New Roman" w:eastAsia="Arial" w:hAnsi="Times New Roman" w:cs="Times New Roman"/>
                <w:b/>
                <w:sz w:val="28"/>
              </w:rPr>
            </w:pPr>
            <w:r w:rsidRPr="008354C2">
              <w:rPr>
                <w:rFonts w:ascii="Times New Roman" w:eastAsia="Arial" w:hAnsi="Times New Roman" w:cs="Times New Roman"/>
                <w:b/>
                <w:sz w:val="28"/>
              </w:rPr>
              <w:t>BHYT</w:t>
            </w:r>
          </w:p>
        </w:tc>
        <w:tc>
          <w:tcPr>
            <w:tcW w:w="4644" w:type="dxa"/>
          </w:tcPr>
          <w:p w:rsidR="00B9354E" w:rsidRPr="008354C2" w:rsidRDefault="00B9354E" w:rsidP="00E02BF1">
            <w:pPr>
              <w:spacing w:before="120" w:after="120"/>
              <w:jc w:val="both"/>
              <w:rPr>
                <w:rFonts w:ascii="Times New Roman" w:eastAsia="Arial" w:hAnsi="Times New Roman" w:cs="Times New Roman"/>
                <w:b/>
                <w:sz w:val="28"/>
              </w:rPr>
            </w:pPr>
            <w:r w:rsidRPr="008354C2">
              <w:rPr>
                <w:rFonts w:ascii="Times New Roman" w:eastAsia="Arial" w:hAnsi="Times New Roman" w:cs="Times New Roman"/>
                <w:b/>
                <w:sz w:val="28"/>
              </w:rPr>
              <w:t>Bảo hiểm y tế</w:t>
            </w:r>
          </w:p>
        </w:tc>
      </w:tr>
    </w:tbl>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830ED8" w:rsidRPr="008354C2" w:rsidRDefault="00830ED8" w:rsidP="00DF0A17">
      <w:pPr>
        <w:spacing w:after="120"/>
        <w:jc w:val="center"/>
        <w:rPr>
          <w:rFonts w:ascii="Times New Roman" w:hAnsi="Times New Roman" w:cs="Times New Roman"/>
        </w:rPr>
      </w:pPr>
    </w:p>
    <w:p w:rsidR="00E02BF1" w:rsidRPr="008354C2" w:rsidRDefault="00E02BF1" w:rsidP="00DF0A17">
      <w:pPr>
        <w:spacing w:after="120"/>
        <w:jc w:val="center"/>
        <w:rPr>
          <w:rFonts w:ascii="Times New Roman" w:eastAsia="Calibri" w:hAnsi="Times New Roman" w:cs="Times New Roman"/>
          <w:b/>
          <w:sz w:val="28"/>
          <w:szCs w:val="28"/>
        </w:rPr>
      </w:pPr>
    </w:p>
    <w:p w:rsidR="00DF0A17" w:rsidRPr="008354C2" w:rsidRDefault="00DF0A17" w:rsidP="00DF0A17">
      <w:pPr>
        <w:spacing w:after="120"/>
        <w:jc w:val="center"/>
        <w:rPr>
          <w:rFonts w:ascii="Times New Roman" w:eastAsia="Calibri" w:hAnsi="Times New Roman" w:cs="Times New Roman"/>
          <w:b/>
          <w:sz w:val="28"/>
          <w:szCs w:val="28"/>
        </w:rPr>
      </w:pPr>
      <w:r w:rsidRPr="008354C2">
        <w:rPr>
          <w:rFonts w:ascii="Times New Roman" w:eastAsia="Calibri" w:hAnsi="Times New Roman" w:cs="Times New Roman"/>
          <w:b/>
          <w:sz w:val="28"/>
          <w:szCs w:val="28"/>
        </w:rPr>
        <w:t>PHẦN THỨ NHẤT</w:t>
      </w:r>
    </w:p>
    <w:p w:rsidR="009B5F58" w:rsidRPr="008354C2" w:rsidRDefault="00DF0A17" w:rsidP="009B5F58">
      <w:pPr>
        <w:jc w:val="center"/>
        <w:rPr>
          <w:rFonts w:ascii="Times New Roman" w:hAnsi="Times New Roman" w:cs="Times New Roman"/>
        </w:rPr>
      </w:pPr>
      <w:r w:rsidRPr="008354C2">
        <w:rPr>
          <w:rFonts w:ascii="Times New Roman" w:eastAsia="Calibri" w:hAnsi="Times New Roman" w:cs="Times New Roman"/>
          <w:b/>
          <w:sz w:val="28"/>
          <w:szCs w:val="28"/>
        </w:rPr>
        <w:t>ĐÁNH GIÁ TỔNG QUAN LUẬT VỀ KINH DOANH BẢO HIỂM VÀ THỊ TRƯỜNG BẢO HIỂM</w:t>
      </w:r>
      <w:bookmarkStart w:id="1" w:name="_Toc1551634"/>
    </w:p>
    <w:p w:rsidR="009F16B7" w:rsidRPr="008354C2" w:rsidRDefault="009B5F58" w:rsidP="009B5F58">
      <w:pPr>
        <w:spacing w:after="120"/>
        <w:jc w:val="center"/>
        <w:rPr>
          <w:rFonts w:ascii="Times New Roman" w:hAnsi="Times New Roman" w:cs="Times New Roman"/>
          <w:b/>
          <w:sz w:val="28"/>
          <w:szCs w:val="28"/>
        </w:rPr>
      </w:pPr>
      <w:r w:rsidRPr="008354C2">
        <w:rPr>
          <w:rFonts w:ascii="Times New Roman" w:hAnsi="Times New Roman" w:cs="Times New Roman"/>
          <w:b/>
          <w:sz w:val="28"/>
          <w:szCs w:val="28"/>
        </w:rPr>
        <w:t xml:space="preserve">I. </w:t>
      </w:r>
      <w:r w:rsidR="009F16B7" w:rsidRPr="008354C2">
        <w:rPr>
          <w:rFonts w:ascii="Times New Roman" w:hAnsi="Times New Roman" w:cs="Times New Roman"/>
          <w:b/>
          <w:sz w:val="28"/>
          <w:szCs w:val="28"/>
        </w:rPr>
        <w:t>Nguồn luật điều chỉnh về kinh doanh bảo hiểm và thị trường bảo hiểm</w:t>
      </w:r>
      <w:bookmarkEnd w:id="1"/>
      <w:r w:rsidR="009F16B7" w:rsidRPr="008354C2">
        <w:rPr>
          <w:rFonts w:ascii="Times New Roman" w:hAnsi="Times New Roman" w:cs="Times New Roman"/>
          <w:b/>
          <w:sz w:val="28"/>
          <w:szCs w:val="28"/>
        </w:rPr>
        <w:t xml:space="preserve">  </w:t>
      </w:r>
    </w:p>
    <w:p w:rsidR="009F16B7" w:rsidRPr="008354C2" w:rsidRDefault="009F16B7" w:rsidP="00F800BE">
      <w:pPr>
        <w:pStyle w:val="BodyText"/>
        <w:spacing w:after="120" w:line="276" w:lineRule="auto"/>
        <w:ind w:left="0" w:firstLine="720"/>
        <w:jc w:val="both"/>
      </w:pPr>
      <w:r w:rsidRPr="008354C2">
        <w:t xml:space="preserve">Tùy thuộc vào nhu cầu quản lý, trình độ lập pháp và hệ thống văn bản luật, các nước trên thế giới có những quy định khác nhau điều chỉnh </w:t>
      </w:r>
      <w:r w:rsidRPr="008354C2">
        <w:rPr>
          <w:lang w:val="vi-VN"/>
        </w:rPr>
        <w:t xml:space="preserve">về </w:t>
      </w:r>
      <w:r w:rsidRPr="008354C2">
        <w:t xml:space="preserve">kinh doanh </w:t>
      </w:r>
      <w:r w:rsidRPr="008354C2">
        <w:rPr>
          <w:lang w:val="vi-VN"/>
        </w:rPr>
        <w:t>bảo hiểm và thị trường bảo hiểm</w:t>
      </w:r>
      <w:r w:rsidRPr="008354C2">
        <w:t>. Hiện nay, hầu hết các nước trên thế giới có thị trường bảo hiểm là thành viên của Hiệp hội các nhà quản lý bảo hiểm quốc tế (IAIS). IAIS có m</w:t>
      </w:r>
      <w:r w:rsidRPr="008354C2">
        <w:rPr>
          <w:iCs/>
        </w:rPr>
        <w:t>ục tiêu và tôn chỉ hoạt động là nhằm</w:t>
      </w:r>
      <w:r w:rsidRPr="008354C2">
        <w:t xml:space="preserve"> phối hợp đóng góp vào quá trình hoàn thiện cơ chế quản lý giám sát thị trường bảo hiểm ở cấp độ quốc gia và quốc tế nhằm duy trì sự ổn định, hiệu quả, công bằng và an toàn của các thị trường bảo hiểm. IAIS tập trung thúc đẩy sự phát triển của các thị trường bảo hiểm có uy tín, đóng góp vào sự ổn định của nền tài chính toàn cầu. IAIS ban hành nguyên tắc, chuẩn mực bảo hiểm và văn bản hướng dẫn, hỗ trợ về giám sát bảo hiểm, cung cấp các khóa đào tạo và tổ chức hội thảo. Để đảm bảo cho thị trường bảo hiểm các nước thành viên phát triển an toàn, ổn định, IAIS ban hành Bộ các quy tắc cốt lõi về bảo hiểm để thống nhất thực hiện (viết tắt là các ICPs). Các cơ quan quản lý thành viên của IAIS đều tuân thủ các nguyên tắc, chuẩn mực bảo hiểm, các hướng dẫn của IAIS có liên quan nên các nguyên tắc, chuẩn mực này là nguồn quan trọng, là nền tảng cốt lõi để các nước thành viên xây dựng hệ thống pháp luật về bảo hiểm của mỗi nước. Các nguyên tắc, chuẩn mực của IAIS là định hướng chung và là căn cứ cho việc ban hành quy định pháp luật về bảo hiểm thống nhất giữa các thành viên, áp dụng đối với cơ quan quản lý bảo hiểm các nước, các doanh nghiệp bảo hiểm và hiệp hội bảo hiểm. </w:t>
      </w:r>
    </w:p>
    <w:p w:rsidR="009F16B7" w:rsidRPr="008354C2" w:rsidRDefault="009F16B7" w:rsidP="00F800BE">
      <w:pPr>
        <w:pStyle w:val="BodyText"/>
        <w:tabs>
          <w:tab w:val="left" w:pos="851"/>
        </w:tabs>
        <w:spacing w:after="120" w:line="276" w:lineRule="auto"/>
        <w:ind w:left="0" w:firstLine="567"/>
        <w:jc w:val="both"/>
      </w:pPr>
      <w:r w:rsidRPr="008354C2">
        <w:t xml:space="preserve">Các nguyên tắc cốt lõi của bảo hiểm do IAIS ban hành được nêu cụ thể tại </w:t>
      </w:r>
      <w:r w:rsidRPr="008354C2">
        <w:rPr>
          <w:i/>
        </w:rPr>
        <w:t>Phụ lục 1, Bản thuyết minh</w:t>
      </w:r>
      <w:r w:rsidRPr="008354C2">
        <w:t xml:space="preserve">. </w:t>
      </w:r>
    </w:p>
    <w:p w:rsidR="009F16B7" w:rsidRPr="008354C2" w:rsidRDefault="009F16B7" w:rsidP="00F800BE">
      <w:pPr>
        <w:pStyle w:val="BodyText"/>
        <w:tabs>
          <w:tab w:val="left" w:pos="851"/>
        </w:tabs>
        <w:spacing w:after="120" w:line="276" w:lineRule="auto"/>
        <w:ind w:left="0" w:firstLine="567"/>
        <w:jc w:val="both"/>
      </w:pPr>
      <w:r w:rsidRPr="008354C2">
        <w:t xml:space="preserve">Về nguồn luật điều chỉnh bảo hiểm và thị trường bảo hiểm, căn cứ vào nội dung đạo luật về bảo hiểm của các nước, có thể chia nguồn luật điều chỉnh về </w:t>
      </w:r>
      <w:r w:rsidRPr="008354C2">
        <w:rPr>
          <w:lang w:val="vi-VN"/>
        </w:rPr>
        <w:t>bảo hiểm và thị trường bảo hiểm</w:t>
      </w:r>
      <w:r w:rsidRPr="008354C2">
        <w:t xml:space="preserve"> của các nước thành 2 nhóm:</w:t>
      </w:r>
    </w:p>
    <w:p w:rsidR="009F16B7" w:rsidRPr="008354C2" w:rsidRDefault="009F16B7" w:rsidP="00F800BE">
      <w:pPr>
        <w:spacing w:before="120" w:after="120"/>
        <w:ind w:firstLine="567"/>
        <w:jc w:val="both"/>
        <w:rPr>
          <w:rFonts w:ascii="Times New Roman" w:hAnsi="Times New Roman" w:cs="Times New Roman"/>
          <w:sz w:val="28"/>
          <w:szCs w:val="28"/>
        </w:rPr>
      </w:pPr>
      <w:r w:rsidRPr="008354C2">
        <w:rPr>
          <w:rFonts w:ascii="Times New Roman" w:hAnsi="Times New Roman" w:cs="Times New Roman"/>
          <w:b/>
          <w:sz w:val="28"/>
          <w:szCs w:val="28"/>
        </w:rPr>
        <w:t>Nhóm thứ nhất</w:t>
      </w:r>
      <w:r w:rsidRPr="008354C2">
        <w:rPr>
          <w:rFonts w:ascii="Times New Roman" w:hAnsi="Times New Roman" w:cs="Times New Roman"/>
          <w:sz w:val="28"/>
          <w:szCs w:val="28"/>
        </w:rPr>
        <w:t xml:space="preserve">: </w:t>
      </w:r>
      <w:r w:rsidRPr="008354C2">
        <w:rPr>
          <w:rFonts w:ascii="Times New Roman" w:hAnsi="Times New Roman" w:cs="Times New Roman"/>
          <w:i/>
          <w:sz w:val="28"/>
          <w:szCs w:val="28"/>
        </w:rPr>
        <w:t xml:space="preserve">Những nước có một đạo luật riêng điều chỉnh toàn diện các vấn đề liên quan đến kinh doanh </w:t>
      </w:r>
      <w:r w:rsidRPr="008354C2">
        <w:rPr>
          <w:rFonts w:ascii="Times New Roman" w:hAnsi="Times New Roman" w:cs="Times New Roman"/>
          <w:i/>
          <w:sz w:val="28"/>
          <w:szCs w:val="28"/>
          <w:lang w:val="vi-VN"/>
        </w:rPr>
        <w:t>bảo hiểm và thị trường bảo hiểm</w:t>
      </w:r>
      <w:r w:rsidRPr="008354C2">
        <w:rPr>
          <w:rFonts w:ascii="Times New Roman" w:hAnsi="Times New Roman" w:cs="Times New Roman"/>
          <w:sz w:val="28"/>
          <w:szCs w:val="28"/>
        </w:rPr>
        <w:t xml:space="preserve">. Đối với các nước này, Luật </w:t>
      </w:r>
      <w:r w:rsidRPr="008354C2">
        <w:rPr>
          <w:rFonts w:ascii="Times New Roman" w:hAnsi="Times New Roman" w:cs="Times New Roman"/>
          <w:sz w:val="28"/>
          <w:szCs w:val="28"/>
          <w:lang w:val="vi-VN"/>
        </w:rPr>
        <w:t>Bảo hiểm</w:t>
      </w:r>
      <w:r w:rsidRPr="008354C2">
        <w:rPr>
          <w:rFonts w:ascii="Times New Roman" w:hAnsi="Times New Roman" w:cs="Times New Roman"/>
          <w:sz w:val="28"/>
          <w:szCs w:val="28"/>
        </w:rPr>
        <w:t xml:space="preserve"> bao gồm các nội dung liên quan đến hầu hết các hoạt động </w:t>
      </w:r>
      <w:r w:rsidRPr="008354C2">
        <w:rPr>
          <w:rFonts w:ascii="Times New Roman" w:hAnsi="Times New Roman" w:cs="Times New Roman"/>
          <w:sz w:val="28"/>
          <w:szCs w:val="28"/>
          <w:lang w:val="vi-VN"/>
        </w:rPr>
        <w:t>về bảo hiểm và thị trường bảo hiểm</w:t>
      </w:r>
      <w:r w:rsidRPr="008354C2">
        <w:rPr>
          <w:rFonts w:ascii="Times New Roman" w:hAnsi="Times New Roman" w:cs="Times New Roman"/>
          <w:sz w:val="28"/>
          <w:szCs w:val="28"/>
        </w:rPr>
        <w:t xml:space="preserve">. Ví dụ, </w:t>
      </w:r>
      <w:r w:rsidRPr="008354C2">
        <w:rPr>
          <w:rFonts w:ascii="Times New Roman" w:hAnsi="Times New Roman" w:cs="Times New Roman"/>
          <w:b/>
          <w:sz w:val="28"/>
          <w:szCs w:val="28"/>
        </w:rPr>
        <w:t xml:space="preserve">Luật Kinh doanh </w:t>
      </w:r>
      <w:r w:rsidRPr="008354C2">
        <w:rPr>
          <w:rFonts w:ascii="Times New Roman" w:hAnsi="Times New Roman" w:cs="Times New Roman"/>
          <w:b/>
          <w:sz w:val="28"/>
          <w:szCs w:val="28"/>
          <w:lang w:val="vi-VN"/>
        </w:rPr>
        <w:t>Bảo hiểm</w:t>
      </w:r>
      <w:r w:rsidRPr="008354C2">
        <w:rPr>
          <w:rFonts w:ascii="Times New Roman" w:hAnsi="Times New Roman" w:cs="Times New Roman"/>
          <w:b/>
          <w:sz w:val="28"/>
          <w:szCs w:val="28"/>
        </w:rPr>
        <w:t xml:space="preserve"> của</w:t>
      </w:r>
      <w:r w:rsidRPr="008354C2">
        <w:rPr>
          <w:rFonts w:ascii="Times New Roman" w:hAnsi="Times New Roman" w:cs="Times New Roman"/>
          <w:b/>
          <w:sz w:val="28"/>
          <w:szCs w:val="28"/>
          <w:lang w:val="vi-VN"/>
        </w:rPr>
        <w:t xml:space="preserve"> Trung Quốc</w:t>
      </w:r>
      <w:r w:rsidRPr="008354C2">
        <w:rPr>
          <w:rFonts w:ascii="Times New Roman" w:hAnsi="Times New Roman" w:cs="Times New Roman"/>
          <w:sz w:val="28"/>
          <w:szCs w:val="28"/>
          <w:lang w:val="vi-VN"/>
        </w:rPr>
        <w:t xml:space="preserve"> </w:t>
      </w:r>
      <w:r w:rsidRPr="008354C2">
        <w:rPr>
          <w:rFonts w:ascii="Times New Roman" w:hAnsi="Times New Roman" w:cs="Times New Roman"/>
          <w:sz w:val="28"/>
          <w:szCs w:val="28"/>
        </w:rPr>
        <w:t xml:space="preserve">quy định toàn bộ các nội dung liên quan đến toàn bộ hoạt động kinh doanh bảo hiểm. </w:t>
      </w:r>
    </w:p>
    <w:p w:rsidR="009F16B7" w:rsidRPr="008354C2" w:rsidRDefault="009F16B7" w:rsidP="00F800BE">
      <w:pPr>
        <w:pStyle w:val="ListParagraph"/>
        <w:widowControl w:val="0"/>
        <w:tabs>
          <w:tab w:val="left" w:pos="360"/>
        </w:tabs>
        <w:autoSpaceDE w:val="0"/>
        <w:autoSpaceDN w:val="0"/>
        <w:spacing w:before="120" w:after="120"/>
        <w:ind w:left="0" w:firstLine="720"/>
        <w:jc w:val="both"/>
        <w:rPr>
          <w:rFonts w:ascii="Times New Roman" w:hAnsi="Times New Roman" w:cs="Times New Roman"/>
          <w:sz w:val="28"/>
        </w:rPr>
      </w:pPr>
      <w:r w:rsidRPr="008354C2">
        <w:rPr>
          <w:rFonts w:ascii="Times New Roman" w:hAnsi="Times New Roman" w:cs="Times New Roman"/>
          <w:b/>
          <w:sz w:val="28"/>
        </w:rPr>
        <w:t>Nhóm thứ hai</w:t>
      </w:r>
      <w:r w:rsidRPr="008354C2">
        <w:rPr>
          <w:rFonts w:ascii="Times New Roman" w:hAnsi="Times New Roman" w:cs="Times New Roman"/>
          <w:i/>
          <w:sz w:val="28"/>
        </w:rPr>
        <w:t xml:space="preserve">: Các nước có một số đạo luật </w:t>
      </w:r>
      <w:r w:rsidRPr="008354C2">
        <w:rPr>
          <w:rFonts w:ascii="Times New Roman" w:hAnsi="Times New Roman" w:cs="Times New Roman"/>
          <w:i/>
          <w:sz w:val="28"/>
          <w:lang w:val="vi-VN"/>
        </w:rPr>
        <w:t>quy định về bảo hiểm và thị trường bảo hiểm</w:t>
      </w:r>
      <w:r w:rsidRPr="008354C2">
        <w:rPr>
          <w:rFonts w:ascii="Times New Roman" w:hAnsi="Times New Roman" w:cs="Times New Roman"/>
          <w:sz w:val="28"/>
        </w:rPr>
        <w:t xml:space="preserve">. Trong nhóm này, quy định về </w:t>
      </w:r>
      <w:r w:rsidRPr="008354C2">
        <w:rPr>
          <w:rFonts w:ascii="Times New Roman" w:hAnsi="Times New Roman" w:cs="Times New Roman"/>
          <w:sz w:val="28"/>
          <w:lang w:val="vi-VN"/>
        </w:rPr>
        <w:t xml:space="preserve">bảo hiểm </w:t>
      </w:r>
      <w:r w:rsidRPr="008354C2">
        <w:rPr>
          <w:rFonts w:ascii="Times New Roman" w:hAnsi="Times New Roman" w:cs="Times New Roman"/>
          <w:sz w:val="28"/>
        </w:rPr>
        <w:t xml:space="preserve">được cụ thể hóa tại </w:t>
      </w:r>
      <w:r w:rsidRPr="008354C2">
        <w:rPr>
          <w:rFonts w:ascii="Times New Roman" w:hAnsi="Times New Roman" w:cs="Times New Roman"/>
          <w:sz w:val="28"/>
          <w:lang w:val="vi-VN"/>
        </w:rPr>
        <w:t>các văn bản Luật khác nhau</w:t>
      </w:r>
      <w:r w:rsidRPr="008354C2">
        <w:rPr>
          <w:rFonts w:ascii="Times New Roman" w:hAnsi="Times New Roman" w:cs="Times New Roman"/>
          <w:sz w:val="28"/>
        </w:rPr>
        <w:t>. Ví dụ như</w:t>
      </w:r>
      <w:r w:rsidRPr="008354C2">
        <w:rPr>
          <w:rFonts w:ascii="Times New Roman" w:hAnsi="Times New Roman" w:cs="Times New Roman"/>
          <w:sz w:val="28"/>
          <w:lang w:val="vi-VN"/>
        </w:rPr>
        <w:t xml:space="preserve"> </w:t>
      </w:r>
      <w:r w:rsidRPr="008354C2">
        <w:rPr>
          <w:rFonts w:ascii="Times New Roman" w:hAnsi="Times New Roman" w:cs="Times New Roman"/>
          <w:b/>
          <w:sz w:val="28"/>
        </w:rPr>
        <w:t>Cộng hòa Liên bang Đức</w:t>
      </w:r>
      <w:r w:rsidRPr="008354C2">
        <w:rPr>
          <w:rFonts w:ascii="Times New Roman" w:hAnsi="Times New Roman" w:cs="Times New Roman"/>
          <w:sz w:val="28"/>
        </w:rPr>
        <w:t xml:space="preserve"> có Luật về Hợp đồng bảo hiểm và Luật riêng về Giám sát bảo hiểm (như có dẫn chiếu tại Điều 16 và một số Điều khác của Luật Hợp đồng bảo hiểm); </w:t>
      </w:r>
      <w:r w:rsidRPr="008354C2">
        <w:rPr>
          <w:rFonts w:ascii="Times New Roman" w:hAnsi="Times New Roman" w:cs="Times New Roman"/>
          <w:b/>
          <w:sz w:val="28"/>
          <w:szCs w:val="28"/>
        </w:rPr>
        <w:t xml:space="preserve">Nhật Bản </w:t>
      </w:r>
      <w:r w:rsidRPr="008354C2">
        <w:rPr>
          <w:rFonts w:ascii="Times New Roman" w:hAnsi="Times New Roman" w:cs="Times New Roman"/>
          <w:sz w:val="28"/>
          <w:szCs w:val="28"/>
        </w:rPr>
        <w:t>ban hành</w:t>
      </w:r>
      <w:r w:rsidRPr="008354C2">
        <w:rPr>
          <w:rFonts w:ascii="Times New Roman" w:hAnsi="Times New Roman" w:cs="Times New Roman"/>
          <w:b/>
          <w:sz w:val="28"/>
          <w:szCs w:val="28"/>
        </w:rPr>
        <w:t xml:space="preserve"> </w:t>
      </w:r>
      <w:r w:rsidRPr="008354C2">
        <w:rPr>
          <w:rFonts w:ascii="Times New Roman" w:hAnsi="Times New Roman" w:cs="Times New Roman"/>
          <w:sz w:val="28"/>
          <w:szCs w:val="28"/>
        </w:rPr>
        <w:t>Luật Bảo hiểm</w:t>
      </w:r>
      <w:r w:rsidRPr="008354C2">
        <w:rPr>
          <w:rFonts w:ascii="Times New Roman" w:hAnsi="Times New Roman" w:cs="Times New Roman"/>
          <w:b/>
          <w:sz w:val="28"/>
          <w:szCs w:val="28"/>
        </w:rPr>
        <w:t xml:space="preserve">  </w:t>
      </w:r>
      <w:r w:rsidRPr="008354C2">
        <w:rPr>
          <w:rFonts w:ascii="Times New Roman" w:hAnsi="Times New Roman" w:cs="Times New Roman"/>
          <w:sz w:val="28"/>
          <w:szCs w:val="28"/>
        </w:rPr>
        <w:t>và Luật Kinh doanh bảo hiểm.</w:t>
      </w:r>
    </w:p>
    <w:p w:rsidR="009B5F58" w:rsidRPr="008354C2" w:rsidRDefault="009F16B7" w:rsidP="00F800BE">
      <w:pPr>
        <w:widowControl w:val="0"/>
        <w:autoSpaceDE w:val="0"/>
        <w:autoSpaceDN w:val="0"/>
        <w:spacing w:before="120" w:after="120"/>
        <w:ind w:firstLine="720"/>
        <w:jc w:val="both"/>
        <w:rPr>
          <w:rFonts w:ascii="Times New Roman" w:hAnsi="Times New Roman" w:cs="Times New Roman"/>
          <w:sz w:val="28"/>
          <w:lang w:val="vi-VN"/>
        </w:rPr>
      </w:pPr>
      <w:r w:rsidRPr="008354C2">
        <w:rPr>
          <w:rFonts w:ascii="Times New Roman" w:hAnsi="Times New Roman" w:cs="Times New Roman"/>
          <w:sz w:val="28"/>
          <w:lang w:val="vi-VN"/>
        </w:rPr>
        <w:t>Như vậy, nếu xét về nguồn luật điều chỉnh hoạt động bảo hiểm và thị trường bảo hiểm, có sự khác biệt giữa các nhóm quốc gia. Nội dung quy định tại các đạo luật về bảo hiểm thường được thiết kế phù hợp với mục tiêu quản lý, trình độ quản lý và đặc thù của hệ thống pháp luật từng quốc gia.</w:t>
      </w:r>
      <w:bookmarkStart w:id="2" w:name="_Toc1551635"/>
    </w:p>
    <w:p w:rsidR="009F16B7" w:rsidRPr="008354C2" w:rsidRDefault="009B5F58" w:rsidP="00F800BE">
      <w:pPr>
        <w:widowControl w:val="0"/>
        <w:autoSpaceDE w:val="0"/>
        <w:autoSpaceDN w:val="0"/>
        <w:spacing w:before="120" w:after="120"/>
        <w:jc w:val="both"/>
        <w:rPr>
          <w:rFonts w:ascii="Times New Roman" w:hAnsi="Times New Roman" w:cs="Times New Roman"/>
          <w:b/>
          <w:sz w:val="28"/>
          <w:lang w:val="vi-VN"/>
        </w:rPr>
      </w:pPr>
      <w:r w:rsidRPr="008354C2">
        <w:rPr>
          <w:rFonts w:ascii="Times New Roman" w:hAnsi="Times New Roman" w:cs="Times New Roman"/>
          <w:b/>
          <w:sz w:val="28"/>
          <w:lang w:val="vi-VN"/>
        </w:rPr>
        <w:t xml:space="preserve">II. </w:t>
      </w:r>
      <w:r w:rsidR="009F16B7" w:rsidRPr="008354C2">
        <w:rPr>
          <w:rFonts w:ascii="Times New Roman" w:hAnsi="Times New Roman" w:cs="Times New Roman"/>
          <w:b/>
          <w:sz w:val="28"/>
          <w:szCs w:val="28"/>
          <w:lang w:val="vi-VN"/>
        </w:rPr>
        <w:t>Phạm vi điều chỉnh, khái niệm cơ bản về kinh doanh bảo hiểm</w:t>
      </w:r>
    </w:p>
    <w:p w:rsidR="009F16B7" w:rsidRPr="008354C2" w:rsidRDefault="00830ED8" w:rsidP="00F800BE">
      <w:pPr>
        <w:pStyle w:val="ListParagraph"/>
        <w:widowControl w:val="0"/>
        <w:autoSpaceDE w:val="0"/>
        <w:autoSpaceDN w:val="0"/>
        <w:spacing w:before="120" w:after="120"/>
        <w:ind w:left="0"/>
        <w:contextualSpacing w:val="0"/>
        <w:jc w:val="both"/>
        <w:outlineLvl w:val="2"/>
        <w:rPr>
          <w:rFonts w:ascii="Times New Roman" w:hAnsi="Times New Roman" w:cs="Times New Roman"/>
          <w:b/>
          <w:sz w:val="28"/>
          <w:lang w:val="vi-VN"/>
        </w:rPr>
      </w:pPr>
      <w:bookmarkStart w:id="3" w:name="_Toc1551636"/>
      <w:bookmarkEnd w:id="2"/>
      <w:r w:rsidRPr="008354C2">
        <w:rPr>
          <w:rFonts w:ascii="Times New Roman" w:hAnsi="Times New Roman" w:cs="Times New Roman"/>
          <w:b/>
          <w:sz w:val="28"/>
          <w:lang w:val="vi-VN"/>
        </w:rPr>
        <w:t xml:space="preserve">1. </w:t>
      </w:r>
      <w:r w:rsidR="009F16B7" w:rsidRPr="008354C2">
        <w:rPr>
          <w:rFonts w:ascii="Times New Roman" w:hAnsi="Times New Roman" w:cs="Times New Roman"/>
          <w:b/>
          <w:sz w:val="28"/>
          <w:lang w:val="vi-VN"/>
        </w:rPr>
        <w:t>Phạm vi điều chỉnh của luật về bảo hiểm</w:t>
      </w:r>
      <w:bookmarkEnd w:id="3"/>
    </w:p>
    <w:p w:rsidR="009F16B7" w:rsidRPr="008354C2" w:rsidRDefault="00830ED8" w:rsidP="00F800BE">
      <w:pPr>
        <w:pStyle w:val="ListParagraph"/>
        <w:widowControl w:val="0"/>
        <w:autoSpaceDE w:val="0"/>
        <w:autoSpaceDN w:val="0"/>
        <w:spacing w:before="120" w:after="60"/>
        <w:ind w:left="0"/>
        <w:contextualSpacing w:val="0"/>
        <w:jc w:val="both"/>
        <w:outlineLvl w:val="3"/>
        <w:rPr>
          <w:rFonts w:ascii="Times New Roman" w:hAnsi="Times New Roman" w:cs="Times New Roman"/>
          <w:b/>
          <w:sz w:val="28"/>
          <w:lang w:val="vi-VN"/>
        </w:rPr>
      </w:pPr>
      <w:r w:rsidRPr="008354C2">
        <w:rPr>
          <w:rFonts w:ascii="Times New Roman" w:hAnsi="Times New Roman" w:cs="Times New Roman"/>
          <w:b/>
          <w:sz w:val="28"/>
          <w:lang w:val="vi-VN"/>
        </w:rPr>
        <w:t xml:space="preserve">1.1. </w:t>
      </w:r>
      <w:r w:rsidR="002207BC" w:rsidRPr="008354C2">
        <w:rPr>
          <w:rFonts w:ascii="Times New Roman" w:hAnsi="Times New Roman" w:cs="Times New Roman"/>
          <w:b/>
          <w:sz w:val="28"/>
          <w:lang w:val="vi-VN"/>
        </w:rPr>
        <w:t>IAIS</w:t>
      </w:r>
    </w:p>
    <w:p w:rsidR="009F16B7" w:rsidRPr="008354C2" w:rsidRDefault="009F16B7" w:rsidP="00F800BE">
      <w:pPr>
        <w:pStyle w:val="ListParagraph"/>
        <w:widowControl w:val="0"/>
        <w:autoSpaceDE w:val="0"/>
        <w:autoSpaceDN w:val="0"/>
        <w:spacing w:before="120" w:after="120"/>
        <w:ind w:left="0"/>
        <w:contextualSpacing w:val="0"/>
        <w:jc w:val="both"/>
        <w:rPr>
          <w:rFonts w:ascii="Times New Roman" w:hAnsi="Times New Roman"/>
          <w:sz w:val="28"/>
          <w:szCs w:val="28"/>
          <w:lang w:val="vi-VN"/>
        </w:rPr>
      </w:pPr>
      <w:r w:rsidRPr="008354C2">
        <w:rPr>
          <w:rFonts w:ascii="Times New Roman" w:hAnsi="Times New Roman" w:cs="Times New Roman"/>
          <w:sz w:val="28"/>
          <w:szCs w:val="28"/>
          <w:lang w:val="vi-VN"/>
        </w:rPr>
        <w:t xml:space="preserve">Theo khuyến nghị của IAIS, các thành viên của Tổ chức IAIS, trong đó có Việt Nam, cần tiến tới thực hiện theo 28 nguyên tắc cốt lõi của bảo hiểm (ICPs) bao gồm các nguyên tắc cơ bản xác định </w:t>
      </w:r>
      <w:r w:rsidRPr="008354C2">
        <w:rPr>
          <w:rFonts w:ascii="Times New Roman" w:hAnsi="Times New Roman"/>
          <w:sz w:val="28"/>
          <w:szCs w:val="28"/>
          <w:lang w:val="vi-VN"/>
        </w:rPr>
        <w:t>Mục tiêu, thẩm quyền và trách nhiệm của giám sát viên; về Giám sát viên; Trao đổi thông tin và yêu cầu bảo mật; Cấp phép; Sự phù hợp của các cá nhân; Thay đổi cơ cấu kiểm soát và chuyển nhượng danh mục đầu tư; Quản trị doanh nghiệp; Quản lý rủi ro và kiểm soát nội bộ; Rà soát hoạt động quản lý và báo cáo; Các biện pháp phòng ngừa và khắc phục; Thi hành; Giải thể và rời khỏi thị trường; Tái bảo hiểm và các hình thức chuyển giao rủi ro khác; Định giá; Đầu tư; Quản lý rủi ro doanh nghiệp nhằm mục đích thanh toán nợ; An toàn vốn; Trung gian; Ứng xử trong kinh doanh; Công bố; Phòng chống gian lận trong bảo hiểm; Chống rửa tiền và tài trợ khủng bố; Giám sát toàn nhóm; Giám sát vĩ mô và giám sát bảo hiểm; Hợp tác và điều phối giám sát; Hợp tác và điều phối xuyên biên giới về xử lý khủng hoảng,</w:t>
      </w:r>
    </w:p>
    <w:p w:rsidR="009F16B7" w:rsidRPr="008354C2" w:rsidRDefault="009F16B7" w:rsidP="00F800BE">
      <w:pPr>
        <w:pStyle w:val="ListParagraph"/>
        <w:widowControl w:val="0"/>
        <w:autoSpaceDE w:val="0"/>
        <w:autoSpaceDN w:val="0"/>
        <w:spacing w:before="120" w:after="120"/>
        <w:ind w:left="0"/>
        <w:contextualSpacing w:val="0"/>
        <w:jc w:val="both"/>
        <w:rPr>
          <w:rFonts w:ascii="Times New Roman" w:hAnsi="Times New Roman" w:cs="Times New Roman"/>
          <w:sz w:val="28"/>
          <w:lang w:val="vi-VN"/>
        </w:rPr>
      </w:pPr>
      <w:r w:rsidRPr="008354C2">
        <w:rPr>
          <w:rFonts w:ascii="Times New Roman" w:hAnsi="Times New Roman" w:cs="Times New Roman"/>
          <w:sz w:val="28"/>
          <w:lang w:val="vi-VN"/>
        </w:rPr>
        <w:t>Về quy định chi tiết, cụ thể trong luật, tùy thuộc nhu cầu quản lý và hệ thống văn bản pháp luật hiện tại, các nước khác nhau sẽ có phạm vi điều chỉnh trong luật tương đối khác nhau. Tuy nhiên, một điểm chung của hầu hết các luật về bảo hiểm là điều chỉnh các đối tượng bao gồm tổ chức và cá nhân tham gia hoặc có liên quan đến hoạt động kinh doanh bảo hiểm và thị trường bảo hiểm.</w:t>
      </w:r>
    </w:p>
    <w:p w:rsidR="009F16B7" w:rsidRPr="008354C2" w:rsidRDefault="002207BC" w:rsidP="00F800BE">
      <w:pPr>
        <w:pStyle w:val="ListParagraph"/>
        <w:widowControl w:val="0"/>
        <w:autoSpaceDE w:val="0"/>
        <w:autoSpaceDN w:val="0"/>
        <w:spacing w:before="120" w:after="60"/>
        <w:ind w:left="0"/>
        <w:contextualSpacing w:val="0"/>
        <w:jc w:val="both"/>
        <w:outlineLvl w:val="3"/>
        <w:rPr>
          <w:rFonts w:ascii="Times New Roman" w:hAnsi="Times New Roman" w:cs="Times New Roman"/>
          <w:b/>
          <w:sz w:val="28"/>
          <w:lang w:val="vi-VN"/>
        </w:rPr>
      </w:pPr>
      <w:r w:rsidRPr="008354C2">
        <w:rPr>
          <w:rFonts w:ascii="Times New Roman" w:hAnsi="Times New Roman" w:cs="Times New Roman"/>
          <w:b/>
          <w:sz w:val="28"/>
          <w:lang w:val="vi-VN"/>
        </w:rPr>
        <w:t xml:space="preserve">1.2. </w:t>
      </w:r>
      <w:r w:rsidR="009F16B7" w:rsidRPr="008354C2">
        <w:rPr>
          <w:rFonts w:ascii="Times New Roman" w:hAnsi="Times New Roman" w:cs="Times New Roman"/>
          <w:b/>
          <w:sz w:val="28"/>
          <w:lang w:val="vi-VN"/>
        </w:rPr>
        <w:t>Luật KDBH Trung Quố</w:t>
      </w:r>
      <w:r w:rsidRPr="008354C2">
        <w:rPr>
          <w:rFonts w:ascii="Times New Roman" w:hAnsi="Times New Roman" w:cs="Times New Roman"/>
          <w:b/>
          <w:sz w:val="28"/>
          <w:lang w:val="vi-VN"/>
        </w:rPr>
        <w:t>c</w:t>
      </w:r>
    </w:p>
    <w:p w:rsidR="009F16B7" w:rsidRPr="008354C2" w:rsidRDefault="009F16B7" w:rsidP="00F800BE">
      <w:pPr>
        <w:pStyle w:val="ListParagraph"/>
        <w:widowControl w:val="0"/>
        <w:autoSpaceDE w:val="0"/>
        <w:autoSpaceDN w:val="0"/>
        <w:spacing w:before="120" w:after="120"/>
        <w:ind w:left="0"/>
        <w:contextualSpacing w:val="0"/>
        <w:jc w:val="both"/>
        <w:rPr>
          <w:rFonts w:ascii="Times New Roman" w:hAnsi="Times New Roman" w:cs="Times New Roman"/>
          <w:sz w:val="28"/>
          <w:szCs w:val="28"/>
          <w:lang w:val="vi-VN"/>
        </w:rPr>
      </w:pPr>
      <w:r w:rsidRPr="008354C2">
        <w:rPr>
          <w:rFonts w:ascii="Times New Roman" w:hAnsi="Times New Roman" w:cs="Times New Roman"/>
          <w:b/>
          <w:sz w:val="28"/>
          <w:lang w:val="vi-VN"/>
        </w:rPr>
        <w:t>Luật KDBH Trung Quốc</w:t>
      </w:r>
      <w:r w:rsidRPr="008354C2">
        <w:rPr>
          <w:rFonts w:ascii="Times New Roman" w:hAnsi="Times New Roman" w:cs="Times New Roman"/>
          <w:sz w:val="28"/>
          <w:lang w:val="vi-VN"/>
        </w:rPr>
        <w:t xml:space="preserve"> có phạm vi điều chỉnh rộng, </w:t>
      </w:r>
      <w:r w:rsidRPr="008354C2">
        <w:rPr>
          <w:rFonts w:ascii="Times New Roman" w:hAnsi="Times New Roman" w:cs="Times New Roman"/>
          <w:sz w:val="28"/>
          <w:szCs w:val="28"/>
          <w:lang w:val="vi-VN"/>
        </w:rPr>
        <w:t>bao gồm toàn bộ các vấn đề liên quan đến hoạt động kinh doanh bảo hiểm từ các khái niệm, thuật ngữ cơ bản sử dụng trong Luật, nguyên tắc hoạt động kinh doanh bảo hiểm, các nội dung về Hợp đồng bảo hiểm, công ty bảo hiểm, đại lý bảo hiểm, môi giới bảo hiểm, công tác giám sát và quản lý ngành bảo hiểm.</w:t>
      </w:r>
    </w:p>
    <w:p w:rsidR="002207BC" w:rsidRPr="008354C2" w:rsidRDefault="009F16B7" w:rsidP="00F800BE">
      <w:pPr>
        <w:pStyle w:val="ListParagraph"/>
        <w:widowControl w:val="0"/>
        <w:tabs>
          <w:tab w:val="left" w:pos="540"/>
        </w:tabs>
        <w:autoSpaceDE w:val="0"/>
        <w:autoSpaceDN w:val="0"/>
        <w:spacing w:before="120" w:after="60"/>
        <w:ind w:left="0"/>
        <w:contextualSpacing w:val="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1.3. Các Luật về bảo hiểm của Nhật Bản</w:t>
      </w:r>
    </w:p>
    <w:p w:rsidR="009F16B7" w:rsidRPr="008354C2" w:rsidRDefault="009F16B7" w:rsidP="00F800BE">
      <w:pPr>
        <w:pStyle w:val="ListParagraph"/>
        <w:widowControl w:val="0"/>
        <w:tabs>
          <w:tab w:val="left" w:pos="540"/>
        </w:tabs>
        <w:autoSpaceDE w:val="0"/>
        <w:autoSpaceDN w:val="0"/>
        <w:spacing w:before="120" w:after="120"/>
        <w:ind w:left="0"/>
        <w:jc w:val="both"/>
        <w:rPr>
          <w:rFonts w:ascii="Times New Roman" w:hAnsi="Times New Roman" w:cs="Times New Roman"/>
          <w:b/>
          <w:sz w:val="28"/>
          <w:szCs w:val="28"/>
          <w:lang w:val="vi-VN"/>
        </w:rPr>
      </w:pPr>
      <w:r w:rsidRPr="008354C2">
        <w:rPr>
          <w:rFonts w:ascii="Times New Roman" w:hAnsi="Times New Roman" w:cs="Times New Roman"/>
          <w:sz w:val="28"/>
          <w:szCs w:val="28"/>
          <w:lang w:val="vi-VN"/>
        </w:rPr>
        <w:t xml:space="preserve">Đạo Luật về Bảo hiểm của Nhật Bản quy định về lĩnh vực bảo hiểm phi nhân thọ, nhân thọ, tai nạn và sức khỏe, bảo hiểm hỗn hợp, trong đó quy định về việc tạo lập các quy tắc, hợp đồng bảo hiểm, quá trình thanh toán, chi trả liên quan đến quy tắc, hợp đồng bảo hiểm, các điều khoản hợp đồng điều khoản loại trừ. </w:t>
      </w:r>
    </w:p>
    <w:p w:rsidR="009F16B7" w:rsidRPr="008354C2" w:rsidRDefault="009F16B7" w:rsidP="00F800BE">
      <w:pPr>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Luật Kinh doanh bảo hiểm của Nhật Bản là đạo luật quy định toàn bộ các vấn đề cơ bản cần luật hóa về hoạt động kinh doanh  bảo hiểm, từ Nguyên tắc chung của hoạt động kinh doanh bảo hiểm; các quy định đối với công ty cổ phần và công ty tương hỗ thực hiện kinh doanh bảo hiểm; công ty con; công ty bảo hiểm nước ngoài; quy định về Hoạt động kinh doanh; Kế toán; quy định về công tác giám sát; chuyển nhượng toàn bộ Hợp đồng bảo hiểm, chuyển giao hoặc mua lại hoạt động kinh doanh và Ủy thác kinh doanh và Quản trị tài sản; quy định về giải thể, sáp nhập, chia tách công ty và thanh lý; </w:t>
      </w:r>
      <w:r w:rsidRPr="008354C2">
        <w:rPr>
          <w:rFonts w:ascii="Times New Roman" w:hAnsi="Times New Roman" w:cs="Times New Roman"/>
          <w:spacing w:val="8"/>
          <w:sz w:val="28"/>
          <w:szCs w:val="28"/>
          <w:lang w:val="vi-VN"/>
        </w:rPr>
        <w:t>các biện pháp đặc biệt</w:t>
      </w:r>
      <w:r w:rsidRPr="008354C2">
        <w:rPr>
          <w:rFonts w:ascii="Times New Roman" w:hAnsi="Times New Roman" w:cs="Times New Roman"/>
          <w:spacing w:val="10"/>
          <w:sz w:val="28"/>
          <w:szCs w:val="28"/>
          <w:lang w:val="vi-VN"/>
        </w:rPr>
        <w:t xml:space="preserve"> để bảo vệ </w:t>
      </w:r>
      <w:r w:rsidRPr="008354C2">
        <w:rPr>
          <w:rFonts w:ascii="Times New Roman" w:hAnsi="Times New Roman" w:cs="Times New Roman"/>
          <w:sz w:val="28"/>
          <w:szCs w:val="28"/>
          <w:lang w:val="vi-VN"/>
        </w:rPr>
        <w:t>chủ hợp đồng bảo hiểm; quy định về cổ đông; các quy định đặc biệt về doanh nghiệp kinh doanh bảo hiểm ngắn hạn và quy mô nhỏ; quy định về tư vấn bảo hiểm; môi giới bảo hiểm; điều khoản phạt…</w:t>
      </w:r>
    </w:p>
    <w:p w:rsidR="009F16B7" w:rsidRPr="008354C2" w:rsidRDefault="009F16B7" w:rsidP="00F800BE">
      <w:pPr>
        <w:pStyle w:val="ListParagraph"/>
        <w:widowControl w:val="0"/>
        <w:autoSpaceDE w:val="0"/>
        <w:autoSpaceDN w:val="0"/>
        <w:spacing w:before="120" w:after="120"/>
        <w:ind w:left="0"/>
        <w:contextualSpacing w:val="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1.4. Các Luật về bảo hiểm của CHLB Đức</w:t>
      </w:r>
    </w:p>
    <w:p w:rsidR="009F16B7" w:rsidRPr="008354C2" w:rsidRDefault="009F16B7" w:rsidP="00F800BE">
      <w:pPr>
        <w:pStyle w:val="ListParagraph"/>
        <w:widowControl w:val="0"/>
        <w:autoSpaceDE w:val="0"/>
        <w:autoSpaceDN w:val="0"/>
        <w:spacing w:before="120" w:after="120"/>
        <w:ind w:left="0"/>
        <w:contextualSpacing w:val="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Luật Hợp đồng bảo hiểm của CHLB Đức quy định tất cả các vấn đề cơ bản liên quan đến xác lập, thực hiện và kết thúc hợp đồng bảo hiểm như làm rõ khái niệm và các trường hợp của hợp đồng bảo hiểm, nội dung tư vấn về hợp đồng, cung cấp các thông tin trong hợp đồng, các trường hợp chấm dứt hợp đồng, hủy bỏ hợp đồng, hợp đồng vô hiệu, hợp đồng sai lệch… và hậu quả pháp lý của các trường hợp này; quyền và nghĩa vụ của các bên liên quan trong hợp đồng bảo hiểm; hòa giải, xét xử các tranh chấp về Hợp đồng bảo hiểm.</w:t>
      </w:r>
    </w:p>
    <w:p w:rsidR="009F16B7" w:rsidRPr="008354C2" w:rsidRDefault="009F16B7" w:rsidP="00F800BE">
      <w:pPr>
        <w:pStyle w:val="ListParagraph"/>
        <w:widowControl w:val="0"/>
        <w:autoSpaceDE w:val="0"/>
        <w:autoSpaceDN w:val="0"/>
        <w:spacing w:before="120" w:after="120"/>
        <w:ind w:left="0"/>
        <w:jc w:val="both"/>
        <w:rPr>
          <w:rFonts w:ascii="Times New Roman" w:hAnsi="Times New Roman" w:cs="Times New Roman"/>
          <w:sz w:val="28"/>
          <w:szCs w:val="28"/>
          <w:lang w:val="vi-VN"/>
        </w:rPr>
      </w:pPr>
      <w:r w:rsidRPr="008354C2">
        <w:rPr>
          <w:rStyle w:val="y2iqfc"/>
          <w:rFonts w:ascii="Times New Roman" w:hAnsi="Times New Roman" w:cs="Times New Roman"/>
          <w:sz w:val="28"/>
          <w:szCs w:val="28"/>
          <w:lang w:val="vi-VN"/>
        </w:rPr>
        <w:t>Tại CHLB Đức, cơ quan quản lý giám sát về bảo hiểm là Bafin, công tác giám sát bảo hiểm dựa trên Đạo luật Giám sát Bảo hiểm (</w:t>
      </w:r>
      <w:r w:rsidRPr="008354C2">
        <w:rPr>
          <w:rFonts w:ascii="Times New Roman" w:hAnsi="Times New Roman" w:cs="Times New Roman"/>
          <w:bCs/>
          <w:spacing w:val="-15"/>
          <w:sz w:val="28"/>
          <w:szCs w:val="28"/>
          <w:lang w:val="vi-VN"/>
        </w:rPr>
        <w:t>Law on the Supervision of Insurance Undertakings</w:t>
      </w:r>
      <w:r w:rsidRPr="008354C2">
        <w:rPr>
          <w:rFonts w:ascii="Times New Roman" w:hAnsi="Times New Roman" w:cs="Times New Roman"/>
          <w:b/>
          <w:bCs/>
          <w:spacing w:val="-15"/>
          <w:sz w:val="28"/>
          <w:szCs w:val="28"/>
          <w:lang w:val="vi-VN"/>
        </w:rPr>
        <w:t xml:space="preserve"> -</w:t>
      </w:r>
      <w:r w:rsidRPr="008354C2">
        <w:rPr>
          <w:rStyle w:val="y2iqfc"/>
          <w:rFonts w:ascii="Times New Roman" w:hAnsi="Times New Roman" w:cs="Times New Roman"/>
          <w:sz w:val="28"/>
          <w:szCs w:val="28"/>
          <w:lang w:val="vi-VN"/>
        </w:rPr>
        <w:t>Versicherungsaufsichtsgesetz – VAG). Theo đó, tất cả các chủ thể cam kết bảo hiểm tư nhân và công cộng thực hiện hoạt động kinh doanh bảo hiểm tư nhân trong phạm vi của Đạo luật Giám sát Bảo hiểm và có văn phòng đăng ký tại Đức đều phải chịu sự giám sát của BaFin hoặc các cơ quan giám sát của Liên bang. Tiền lương hưu cũng chịu sự giám sát bảo hiểm không giới hạn của BaFin theo Đạo luật kể từ đầu năm 2002, cũng như các cam kết tái bảo hiểm trong nước kể từ tháng 12 năm 2004. Các tổ chức bảo hiểm xã hội - tức là các quỹ bảo hiểm y tế theo luật định, quỹ bảo hiểm hưu trí theo luật định, các tổ chức bảo hiểm tai nạn theo luật định và bảo hiểm thất nghiệp - không chịu sự giám sát theo Đạo luật Giám sát Bảo hiểm. Chúng được quy định bởi các cơ quan chính phủ khác, chẳng hạn như Cơ quan Bảo hiểm Liên bang Đức - Bundesversicherungsamt).</w:t>
      </w:r>
    </w:p>
    <w:p w:rsidR="009F16B7" w:rsidRPr="008354C2" w:rsidRDefault="009F16B7" w:rsidP="00F800BE">
      <w:pPr>
        <w:pStyle w:val="HTMLPreformatted"/>
        <w:tabs>
          <w:tab w:val="clear" w:pos="916"/>
          <w:tab w:val="clear" w:pos="1832"/>
          <w:tab w:val="clear" w:pos="2748"/>
          <w:tab w:val="clear" w:pos="3664"/>
          <w:tab w:val="clear" w:pos="4580"/>
          <w:tab w:val="clear" w:pos="9160"/>
          <w:tab w:val="left" w:pos="9090"/>
        </w:tabs>
        <w:spacing w:before="120" w:after="120" w:line="276" w:lineRule="auto"/>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Luật Giám sát bảo hiểm của CHLB Đức quy định các nội dung về cấp phép thành lập cho các tổ chức thực hiện hoạt động kinh doanh bảo hiểm theo các hình thức doanh nghiệp bảo hiểm, hiệp hội tương hỗ, hoặc 1 tập đoàn theo Luật công (các tổ chức này có thể thực hiện các hoạt động bảo hiểm tại Cộng hòa Liên bang Đức với giấy phép bảo hiểm do Cơ quan Giám sát Tài chính Liên bang (BaFin) cấp. Luật Giám sát bảo hiểm cũng quy định những nội dung quan trọng khác như nghĩa vụ của các tổ chức hoạt động bảo hiểm, các quy định về tài chính, kế toán, dự phòng của các tổ chức bảo hiểm,  nghĩa vụ và thẩm quyền của cơ quan quản lý, quan hệ giữa cơ quan quản lý CHLB Đức và cơ quan quản lý các thành viên EU khác, các điều khoản chuyển tiếp…</w:t>
      </w:r>
    </w:p>
    <w:p w:rsidR="009F16B7" w:rsidRPr="008354C2" w:rsidRDefault="009F16B7" w:rsidP="00F800BE">
      <w:pPr>
        <w:widowControl w:val="0"/>
        <w:autoSpaceDE w:val="0"/>
        <w:autoSpaceDN w:val="0"/>
        <w:spacing w:before="120" w:after="120"/>
        <w:jc w:val="both"/>
        <w:rPr>
          <w:rFonts w:ascii="Times New Roman" w:hAnsi="Times New Roman" w:cs="Times New Roman"/>
          <w:sz w:val="28"/>
          <w:lang w:val="vi-VN"/>
        </w:rPr>
      </w:pPr>
      <w:r w:rsidRPr="008354C2">
        <w:rPr>
          <w:rFonts w:ascii="Times New Roman" w:hAnsi="Times New Roman" w:cs="Times New Roman"/>
          <w:b/>
          <w:sz w:val="28"/>
          <w:lang w:val="vi-VN"/>
        </w:rPr>
        <w:t>1.5. Luật Bảo hiểm Đài Loan</w:t>
      </w:r>
    </w:p>
    <w:p w:rsidR="009F16B7" w:rsidRPr="008354C2" w:rsidRDefault="009F16B7" w:rsidP="00F800BE">
      <w:pPr>
        <w:widowControl w:val="0"/>
        <w:autoSpaceDE w:val="0"/>
        <w:autoSpaceDN w:val="0"/>
        <w:spacing w:before="120" w:after="120"/>
        <w:jc w:val="both"/>
        <w:rPr>
          <w:rFonts w:ascii="Times New Roman" w:hAnsi="Times New Roman" w:cs="Times New Roman"/>
          <w:sz w:val="28"/>
          <w:lang w:val="vi-VN"/>
        </w:rPr>
      </w:pPr>
      <w:r w:rsidRPr="008354C2">
        <w:rPr>
          <w:rFonts w:ascii="Times New Roman" w:hAnsi="Times New Roman" w:cs="Times New Roman"/>
          <w:sz w:val="28"/>
          <w:lang w:val="vi-VN"/>
        </w:rPr>
        <w:t>Luật Bảo hiểm Đài Loan chủ yếu quy định về  các khái niệm, nguyên tắc cơ bản về bảo hiểm; quy định các nội dung về hợp đồng bảo hiểm, bảo hiểm phi nhân thọ, bảo hiểm con người, các công ty bảo hiểm (bao gồm cả doanh nghiệp bảo hiểm, hợp tác xã bảo hiểm, đại lý bảo hiểm, môi giới bảo hiểm).</w:t>
      </w:r>
    </w:p>
    <w:p w:rsidR="009F16B7" w:rsidRPr="008354C2" w:rsidRDefault="002D2281" w:rsidP="00F800BE">
      <w:pPr>
        <w:pStyle w:val="ListParagraph"/>
        <w:widowControl w:val="0"/>
        <w:autoSpaceDE w:val="0"/>
        <w:autoSpaceDN w:val="0"/>
        <w:spacing w:before="120" w:after="120"/>
        <w:ind w:left="0"/>
        <w:jc w:val="both"/>
        <w:outlineLvl w:val="3"/>
        <w:rPr>
          <w:rFonts w:ascii="Times New Roman" w:hAnsi="Times New Roman" w:cs="Times New Roman"/>
          <w:b/>
          <w:sz w:val="28"/>
          <w:lang w:val="vi-VN"/>
        </w:rPr>
      </w:pPr>
      <w:r w:rsidRPr="008354C2">
        <w:rPr>
          <w:rFonts w:ascii="Times New Roman" w:hAnsi="Times New Roman" w:cs="Times New Roman"/>
          <w:b/>
          <w:sz w:val="28"/>
          <w:lang w:val="vi-VN"/>
        </w:rPr>
        <w:t xml:space="preserve">1.6. </w:t>
      </w:r>
      <w:r w:rsidR="009F16B7" w:rsidRPr="008354C2">
        <w:rPr>
          <w:rFonts w:ascii="Times New Roman" w:hAnsi="Times New Roman" w:cs="Times New Roman"/>
          <w:b/>
          <w:sz w:val="28"/>
          <w:lang w:val="vi-VN"/>
        </w:rPr>
        <w:t>Luật KDBH của Hàn Quốc:</w:t>
      </w:r>
    </w:p>
    <w:p w:rsidR="009F16B7" w:rsidRPr="008354C2" w:rsidRDefault="009F16B7" w:rsidP="00F800BE">
      <w:pPr>
        <w:widowControl w:val="0"/>
        <w:autoSpaceDE w:val="0"/>
        <w:autoSpaceDN w:val="0"/>
        <w:spacing w:before="120" w:after="120"/>
        <w:jc w:val="both"/>
        <w:outlineLvl w:val="3"/>
        <w:rPr>
          <w:rFonts w:ascii="Times New Roman" w:hAnsi="Times New Roman" w:cs="Times New Roman"/>
          <w:sz w:val="28"/>
          <w:szCs w:val="28"/>
          <w:lang w:val="vi-VN"/>
        </w:rPr>
      </w:pPr>
      <w:r w:rsidRPr="008354C2">
        <w:rPr>
          <w:rFonts w:ascii="Times New Roman" w:hAnsi="Times New Roman" w:cs="Times New Roman"/>
          <w:sz w:val="28"/>
          <w:lang w:val="vi-VN"/>
        </w:rPr>
        <w:t xml:space="preserve">Luật Kinh doanh bảo hiểm của Hàn Quốc quy định về việc cấp phép cho hoạt động kinh doanh bảo hiểm; thành lập, tổ chức, hoạt động của công ty bảo hiểm, bảo hiểm tương hỗ; quyền của chủ hợp đồng bảo hiểm; quy định về tài chính, kế toán công ty bảo hiểm; </w:t>
      </w:r>
      <w:r w:rsidRPr="008354C2">
        <w:rPr>
          <w:rFonts w:ascii="Times New Roman" w:hAnsi="Times New Roman" w:cs="Times New Roman"/>
          <w:sz w:val="28"/>
          <w:szCs w:val="28"/>
          <w:lang w:val="vi-VN"/>
        </w:rPr>
        <w:t>giải thể, sáp nhập, chia tách công ty bảo hiểm; quản lý thanh tra, giám sát về bảo hiểm; quyền và nghĩa vụ của công ty bảo hiểm, cơ quan quản lý, điều khoản sửa đổi, điều khoản phạt.</w:t>
      </w:r>
    </w:p>
    <w:p w:rsidR="009F16B7" w:rsidRPr="008354C2" w:rsidRDefault="002D2281" w:rsidP="00F800BE">
      <w:pPr>
        <w:pStyle w:val="ListParagraph"/>
        <w:widowControl w:val="0"/>
        <w:autoSpaceDE w:val="0"/>
        <w:autoSpaceDN w:val="0"/>
        <w:spacing w:before="120" w:after="120"/>
        <w:ind w:left="0"/>
        <w:jc w:val="both"/>
        <w:outlineLvl w:val="3"/>
        <w:rPr>
          <w:rFonts w:ascii="Times New Roman" w:hAnsi="Times New Roman" w:cs="Times New Roman"/>
          <w:b/>
          <w:sz w:val="28"/>
          <w:szCs w:val="28"/>
          <w:lang w:val="vi-VN"/>
        </w:rPr>
      </w:pPr>
      <w:r w:rsidRPr="008354C2">
        <w:rPr>
          <w:rFonts w:ascii="Times New Roman" w:hAnsi="Times New Roman" w:cs="Times New Roman"/>
          <w:b/>
          <w:sz w:val="28"/>
          <w:szCs w:val="28"/>
          <w:lang w:val="vi-VN"/>
        </w:rPr>
        <w:t xml:space="preserve">1.7. </w:t>
      </w:r>
      <w:r w:rsidR="009F16B7" w:rsidRPr="008354C2">
        <w:rPr>
          <w:rFonts w:ascii="Times New Roman" w:hAnsi="Times New Roman" w:cs="Times New Roman"/>
          <w:b/>
          <w:sz w:val="28"/>
          <w:szCs w:val="28"/>
          <w:lang w:val="vi-VN"/>
        </w:rPr>
        <w:t>Luật HĐBH của Úc</w:t>
      </w:r>
    </w:p>
    <w:p w:rsidR="00F800BE" w:rsidRPr="008354C2" w:rsidRDefault="009F16B7" w:rsidP="00F800BE">
      <w:pPr>
        <w:widowControl w:val="0"/>
        <w:autoSpaceDE w:val="0"/>
        <w:autoSpaceDN w:val="0"/>
        <w:spacing w:before="120" w:after="120"/>
        <w:jc w:val="both"/>
        <w:outlineLvl w:val="3"/>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Luật Hợp đồng bảo hiểm năm 1973 của Úc quy định về Cấp phép kinh doanh bảo hiểm; </w:t>
      </w:r>
      <w:r w:rsidRPr="008354C2">
        <w:rPr>
          <w:rFonts w:ascii="Times New Roman" w:eastAsia="Arial" w:hAnsi="Times New Roman" w:cs="Times New Roman"/>
          <w:sz w:val="28"/>
          <w:szCs w:val="28"/>
          <w:lang w:val="vi-VN"/>
        </w:rPr>
        <w:t xml:space="preserve">Giám sát và </w:t>
      </w:r>
      <w:r w:rsidRPr="008354C2">
        <w:rPr>
          <w:rFonts w:ascii="Times New Roman" w:eastAsia="Malgun Gothic" w:hAnsi="Times New Roman" w:cs="Times New Roman"/>
          <w:sz w:val="28"/>
          <w:szCs w:val="28"/>
          <w:lang w:val="vi-VN" w:eastAsia="ko-KR"/>
        </w:rPr>
        <w:t xml:space="preserve"> quản lý</w:t>
      </w:r>
      <w:r w:rsidRPr="008354C2">
        <w:rPr>
          <w:rFonts w:ascii="Times New Roman" w:eastAsia="Arial" w:hAnsi="Times New Roman" w:cs="Times New Roman"/>
          <w:sz w:val="28"/>
          <w:szCs w:val="28"/>
          <w:lang w:val="vi-VN"/>
        </w:rPr>
        <w:t xml:space="preserve"> các vấn đề cẩn trọng đối với các </w:t>
      </w:r>
      <w:r w:rsidRPr="008354C2">
        <w:rPr>
          <w:rFonts w:ascii="Times New Roman" w:eastAsia="Malgun Gothic" w:hAnsi="Times New Roman" w:cs="Times New Roman"/>
          <w:sz w:val="28"/>
          <w:szCs w:val="28"/>
          <w:lang w:val="vi-VN" w:eastAsia="ko-KR"/>
        </w:rPr>
        <w:t xml:space="preserve"> </w:t>
      </w:r>
      <w:r w:rsidRPr="008354C2">
        <w:rPr>
          <w:rFonts w:ascii="Times New Roman" w:eastAsia="Arial" w:hAnsi="Times New Roman" w:cs="Times New Roman"/>
          <w:sz w:val="28"/>
          <w:szCs w:val="28"/>
          <w:lang w:val="vi-VN"/>
        </w:rPr>
        <w:t xml:space="preserve">công ty bảo hiểm </w:t>
      </w:r>
      <w:r w:rsidRPr="008354C2">
        <w:rPr>
          <w:rFonts w:ascii="Times New Roman" w:eastAsia="Malgun Gothic" w:hAnsi="Times New Roman" w:cs="Times New Roman"/>
          <w:sz w:val="28"/>
          <w:szCs w:val="28"/>
          <w:lang w:val="vi-VN" w:eastAsia="ko-KR"/>
        </w:rPr>
        <w:t>phi nhân thọ</w:t>
      </w:r>
      <w:r w:rsidRPr="008354C2">
        <w:rPr>
          <w:rFonts w:ascii="Times New Roman" w:eastAsia="Arial" w:hAnsi="Times New Roman" w:cs="Times New Roman"/>
          <w:sz w:val="28"/>
          <w:szCs w:val="28"/>
          <w:lang w:val="vi-VN"/>
        </w:rPr>
        <w:t xml:space="preserve">, các NOHC được cấp phép và các công ty con; </w:t>
      </w:r>
      <w:r w:rsidRPr="008354C2">
        <w:rPr>
          <w:rFonts w:ascii="Times New Roman" w:hAnsi="Times New Roman" w:cs="Times New Roman"/>
          <w:sz w:val="28"/>
          <w:szCs w:val="28"/>
          <w:lang w:val="vi-VN"/>
        </w:rPr>
        <w:t xml:space="preserve">Kiểm toán viên, chuyên </w:t>
      </w:r>
      <w:r w:rsidRPr="008354C2">
        <w:rPr>
          <w:rFonts w:ascii="Times New Roman" w:eastAsia="Malgun Gothic" w:hAnsi="Times New Roman" w:cs="Times New Roman"/>
          <w:sz w:val="28"/>
          <w:szCs w:val="28"/>
          <w:lang w:val="vi-VN" w:eastAsia="ko-KR"/>
        </w:rPr>
        <w:t xml:space="preserve">viên </w:t>
      </w:r>
      <w:r w:rsidRPr="008354C2">
        <w:rPr>
          <w:rFonts w:ascii="Times New Roman" w:hAnsi="Times New Roman" w:cs="Times New Roman"/>
          <w:sz w:val="28"/>
          <w:szCs w:val="28"/>
          <w:lang w:val="vi-VN"/>
        </w:rPr>
        <w:t xml:space="preserve"> tính toán bảo hiểm và </w:t>
      </w:r>
      <w:r w:rsidRPr="008354C2">
        <w:rPr>
          <w:rFonts w:ascii="Times New Roman" w:eastAsia="Malgun Gothic" w:hAnsi="Times New Roman" w:cs="Times New Roman"/>
          <w:sz w:val="28"/>
          <w:szCs w:val="28"/>
          <w:lang w:val="vi-VN" w:eastAsia="ko-KR"/>
        </w:rPr>
        <w:t>kế</w:t>
      </w:r>
      <w:r w:rsidR="002D2281" w:rsidRPr="008354C2">
        <w:rPr>
          <w:rFonts w:ascii="Times New Roman" w:eastAsia="Malgun Gothic" w:hAnsi="Times New Roman" w:cs="Times New Roman"/>
          <w:sz w:val="28"/>
          <w:szCs w:val="28"/>
          <w:lang w:val="vi-VN" w:eastAsia="ko-KR"/>
        </w:rPr>
        <w:t xml:space="preserve"> toán</w:t>
      </w:r>
      <w:r w:rsidRPr="008354C2">
        <w:rPr>
          <w:rFonts w:ascii="Times New Roman" w:hAnsi="Times New Roman" w:cs="Times New Roman"/>
          <w:sz w:val="28"/>
          <w:szCs w:val="28"/>
          <w:lang w:val="vi-VN"/>
        </w:rPr>
        <w:t xml:space="preserve">; Điều tra các công ty bảo hiểm </w:t>
      </w:r>
      <w:r w:rsidRPr="008354C2">
        <w:rPr>
          <w:rFonts w:ascii="Times New Roman" w:eastAsia="Malgun Gothic" w:hAnsi="Times New Roman" w:cs="Times New Roman"/>
          <w:sz w:val="28"/>
          <w:szCs w:val="28"/>
          <w:lang w:val="vi-VN" w:eastAsia="ko-KR"/>
        </w:rPr>
        <w:t xml:space="preserve">phi nhân thọ; </w:t>
      </w:r>
      <w:r w:rsidRPr="008354C2">
        <w:rPr>
          <w:rFonts w:ascii="Times New Roman" w:hAnsi="Times New Roman" w:cs="Times New Roman"/>
          <w:sz w:val="28"/>
          <w:szCs w:val="28"/>
          <w:lang w:val="vi-VN"/>
        </w:rPr>
        <w:t xml:space="preserve">Quản lý tư pháp, quản lý khác từ bên ngoài và việc giải thể doanh nghiệp; </w:t>
      </w:r>
      <w:r w:rsidRPr="008354C2">
        <w:rPr>
          <w:rFonts w:ascii="Times New Roman" w:eastAsia="Malgun Gothic" w:hAnsi="Times New Roman" w:cs="Times New Roman"/>
          <w:sz w:val="28"/>
          <w:szCs w:val="28"/>
          <w:lang w:val="vi-VN" w:eastAsia="ko-KR"/>
        </w:rPr>
        <w:t xml:space="preserve">Chương trình </w:t>
      </w:r>
      <w:r w:rsidRPr="008354C2">
        <w:rPr>
          <w:rFonts w:ascii="Times New Roman" w:hAnsi="Times New Roman" w:cs="Times New Roman"/>
          <w:sz w:val="28"/>
          <w:szCs w:val="28"/>
          <w:lang w:val="vi-VN"/>
        </w:rPr>
        <w:t>bồi thường tài chính cho các chủ hợp đồng bảo hiểm với các công ty bảo hiểm</w:t>
      </w:r>
      <w:r w:rsidRPr="008354C2">
        <w:rPr>
          <w:rFonts w:ascii="Times New Roman" w:eastAsia="Malgun Gothic" w:hAnsi="Times New Roman" w:cs="Times New Roman"/>
          <w:sz w:val="28"/>
          <w:szCs w:val="28"/>
          <w:lang w:val="vi-VN" w:eastAsia="ko-KR"/>
        </w:rPr>
        <w:t xml:space="preserve"> phi nhân thọ</w:t>
      </w:r>
      <w:r w:rsidRPr="008354C2">
        <w:rPr>
          <w:rFonts w:ascii="Times New Roman" w:hAnsi="Times New Roman" w:cs="Times New Roman"/>
          <w:sz w:val="28"/>
          <w:szCs w:val="28"/>
          <w:lang w:val="vi-VN"/>
        </w:rPr>
        <w:t xml:space="preserve"> phá sả</w:t>
      </w:r>
      <w:r w:rsidR="002D2281" w:rsidRPr="008354C2">
        <w:rPr>
          <w:rFonts w:ascii="Times New Roman" w:hAnsi="Times New Roman" w:cs="Times New Roman"/>
          <w:sz w:val="28"/>
          <w:szCs w:val="28"/>
          <w:lang w:val="vi-VN"/>
        </w:rPr>
        <w:t>n</w:t>
      </w:r>
      <w:r w:rsidRPr="008354C2">
        <w:rPr>
          <w:rFonts w:ascii="Times New Roman" w:hAnsi="Times New Roman" w:cs="Times New Roman"/>
          <w:sz w:val="28"/>
          <w:szCs w:val="28"/>
          <w:lang w:val="vi-VN"/>
        </w:rPr>
        <w:t>; Quyền hạn chung của</w:t>
      </w:r>
      <w:r w:rsidRPr="008354C2">
        <w:rPr>
          <w:rFonts w:ascii="Times New Roman" w:hAnsi="Times New Roman" w:cs="Times New Roman"/>
          <w:spacing w:val="-15"/>
          <w:sz w:val="28"/>
          <w:szCs w:val="28"/>
          <w:lang w:val="vi-VN"/>
        </w:rPr>
        <w:t xml:space="preserve"> </w:t>
      </w:r>
      <w:r w:rsidRPr="008354C2">
        <w:rPr>
          <w:rFonts w:ascii="Times New Roman" w:hAnsi="Times New Roman" w:cs="Times New Roman"/>
          <w:spacing w:val="-1"/>
          <w:sz w:val="28"/>
          <w:szCs w:val="28"/>
          <w:lang w:val="vi-VN"/>
        </w:rPr>
        <w:t>APR</w:t>
      </w:r>
      <w:r w:rsidRPr="008354C2">
        <w:rPr>
          <w:rFonts w:ascii="Times New Roman" w:hAnsi="Times New Roman" w:cs="Times New Roman"/>
          <w:sz w:val="28"/>
          <w:szCs w:val="28"/>
          <w:lang w:val="vi-VN"/>
        </w:rPr>
        <w:t>A; Ảnh hưởng của Luật đến các luật khác; Hình phạt dân sự</w:t>
      </w:r>
      <w:bookmarkStart w:id="4" w:name="_Toc1551637"/>
    </w:p>
    <w:p w:rsidR="00F800BE" w:rsidRPr="008354C2" w:rsidRDefault="00F800BE" w:rsidP="00F800BE">
      <w:pPr>
        <w:widowControl w:val="0"/>
        <w:autoSpaceDE w:val="0"/>
        <w:autoSpaceDN w:val="0"/>
        <w:spacing w:before="120" w:after="120"/>
        <w:jc w:val="both"/>
        <w:outlineLvl w:val="3"/>
        <w:rPr>
          <w:rFonts w:ascii="Times New Roman" w:hAnsi="Times New Roman" w:cs="Times New Roman"/>
          <w:b/>
          <w:sz w:val="28"/>
          <w:lang w:val="vi-VN"/>
        </w:rPr>
      </w:pPr>
      <w:r w:rsidRPr="008354C2">
        <w:rPr>
          <w:rFonts w:ascii="Times New Roman" w:hAnsi="Times New Roman" w:cs="Times New Roman"/>
          <w:b/>
          <w:sz w:val="28"/>
          <w:szCs w:val="28"/>
          <w:lang w:val="vi-VN"/>
        </w:rPr>
        <w:t xml:space="preserve">2. </w:t>
      </w:r>
      <w:r w:rsidR="009F16B7" w:rsidRPr="008354C2">
        <w:rPr>
          <w:rFonts w:ascii="Times New Roman" w:hAnsi="Times New Roman" w:cs="Times New Roman"/>
          <w:b/>
          <w:sz w:val="28"/>
          <w:lang w:val="vi-VN"/>
        </w:rPr>
        <w:t>Định nghĩa về bảo hiểm, kinh doanh bảo hiểm tại một số thị trường bảo hiểm</w:t>
      </w:r>
      <w:bookmarkEnd w:id="4"/>
      <w:r w:rsidR="009F16B7" w:rsidRPr="008354C2">
        <w:rPr>
          <w:rFonts w:ascii="Times New Roman" w:hAnsi="Times New Roman" w:cs="Times New Roman"/>
          <w:b/>
          <w:sz w:val="28"/>
          <w:lang w:val="vi-VN"/>
        </w:rPr>
        <w:t xml:space="preserve"> </w:t>
      </w:r>
    </w:p>
    <w:p w:rsidR="009F16B7" w:rsidRPr="008354C2" w:rsidRDefault="009F16B7" w:rsidP="00F800BE">
      <w:pPr>
        <w:widowControl w:val="0"/>
        <w:autoSpaceDE w:val="0"/>
        <w:autoSpaceDN w:val="0"/>
        <w:spacing w:before="120" w:after="120"/>
        <w:jc w:val="both"/>
        <w:outlineLvl w:val="3"/>
        <w:rPr>
          <w:rFonts w:ascii="Times New Roman" w:hAnsi="Times New Roman" w:cs="Times New Roman"/>
          <w:sz w:val="28"/>
          <w:szCs w:val="28"/>
          <w:lang w:val="vi-VN"/>
        </w:rPr>
      </w:pPr>
      <w:r w:rsidRPr="008354C2">
        <w:rPr>
          <w:rFonts w:ascii="Times New Roman" w:hAnsi="Times New Roman" w:cs="Times New Roman"/>
          <w:sz w:val="28"/>
          <w:lang w:val="vi-VN"/>
        </w:rPr>
        <w:t>Bảo hiểm đã trở thành một khái niệm cơ bản, thông dụng về dịch vụ tài chính, được giải thích tại các giáo trình về tài chính, bảo hiểm và được giảng dạy tại các trường đại học. Do đó hiện nay trên thế giới, một số luật của các nước có giải thích khái niệm “bảo hiểm”, một số nước giải thích khái niệm “kinh doanh bảo hiểm”.</w:t>
      </w:r>
    </w:p>
    <w:p w:rsidR="009F16B7" w:rsidRPr="008354C2" w:rsidRDefault="009F16B7" w:rsidP="00F800BE">
      <w:pPr>
        <w:pStyle w:val="ListParagraph"/>
        <w:widowControl w:val="0"/>
        <w:autoSpaceDE w:val="0"/>
        <w:autoSpaceDN w:val="0"/>
        <w:spacing w:before="120" w:after="120"/>
        <w:ind w:left="0"/>
        <w:contextualSpacing w:val="0"/>
        <w:jc w:val="both"/>
        <w:rPr>
          <w:rFonts w:ascii="Times New Roman" w:hAnsi="Times New Roman" w:cs="Times New Roman"/>
          <w:sz w:val="28"/>
          <w:lang w:val="vi-VN"/>
        </w:rPr>
      </w:pPr>
      <w:r w:rsidRPr="008354C2">
        <w:rPr>
          <w:rFonts w:ascii="Times New Roman" w:hAnsi="Times New Roman" w:cs="Times New Roman"/>
          <w:sz w:val="28"/>
          <w:lang w:val="vi-VN"/>
        </w:rPr>
        <w:t>Nghiên cứu các nước cho thấy mỗi nước có định nghĩa trình bày khác nhau về bảo hiểm và kinh doanh bảo hiểm tuy nhiên về bản chất, khái niệm bảo hiểm  đều được giải thích từ bản chất của bảo hiểm là 1 hình thức chuyển giao rủi ro từ người được bảo hiểm (số ít) sang số đông thông qua người bảo hiểm (doanh nghiệp bảo hiểm) theo đó người được bảo hiểm phải trả phí bảo hiểm cho người bảo hiểm, người bảo hiểm cam kết sẽ bồi thường hoặc trả tiền cho người được bảo hiểm nếu sự kiện bảo hiểm xảy ra như đã thỏa thuận. Khái niệm “bảo hiểm” thường được giải thích tại các Luật về bảo hiểm, Luật về hợp đồng bảo hiểm.</w:t>
      </w:r>
    </w:p>
    <w:p w:rsidR="009F16B7" w:rsidRPr="008354C2" w:rsidRDefault="009F16B7" w:rsidP="00F800BE">
      <w:pPr>
        <w:pStyle w:val="ListParagraph"/>
        <w:widowControl w:val="0"/>
        <w:tabs>
          <w:tab w:val="left" w:pos="851"/>
          <w:tab w:val="left" w:pos="1134"/>
        </w:tabs>
        <w:autoSpaceDE w:val="0"/>
        <w:autoSpaceDN w:val="0"/>
        <w:spacing w:before="120" w:after="120"/>
        <w:ind w:left="0"/>
        <w:jc w:val="both"/>
        <w:rPr>
          <w:rFonts w:ascii="Times New Roman" w:hAnsi="Times New Roman" w:cs="Times New Roman"/>
          <w:sz w:val="28"/>
          <w:lang w:val="vi-VN"/>
        </w:rPr>
      </w:pPr>
      <w:r w:rsidRPr="008354C2">
        <w:rPr>
          <w:rFonts w:ascii="Times New Roman" w:hAnsi="Times New Roman" w:cs="Times New Roman"/>
          <w:sz w:val="28"/>
          <w:lang w:val="vi-VN"/>
        </w:rPr>
        <w:t>Khái niệm kinh doanh bảo hiểm tại các nước cũng đều giải thích theo hướng mô tả kinh doanh bảo hiểm là kinh doanh về bảo hiểm, nghĩa là kinh doanh bảo hiểm trước hết phải là một hoạt động kinh doanh và là toàn bộ hoạt động liên quan đến việc kinh doanh về bảo hiểm, nhằm mục tiêu sinh lợi. Khái niệm “kinh doanh bảo hiểm” thường được giải thích tại các Luật Kinh doanh bảo hiểm.</w:t>
      </w:r>
    </w:p>
    <w:p w:rsidR="009F16B7" w:rsidRPr="008354C2" w:rsidRDefault="00F800BE" w:rsidP="00F800BE">
      <w:pPr>
        <w:widowControl w:val="0"/>
        <w:tabs>
          <w:tab w:val="left" w:pos="450"/>
          <w:tab w:val="left" w:pos="1134"/>
        </w:tabs>
        <w:autoSpaceDE w:val="0"/>
        <w:autoSpaceDN w:val="0"/>
        <w:spacing w:before="120" w:after="120"/>
        <w:jc w:val="both"/>
        <w:outlineLvl w:val="3"/>
        <w:rPr>
          <w:rFonts w:ascii="Times New Roman" w:hAnsi="Times New Roman" w:cs="Times New Roman"/>
          <w:b/>
          <w:sz w:val="28"/>
          <w:szCs w:val="28"/>
          <w:lang w:val="vi-VN"/>
        </w:rPr>
      </w:pPr>
      <w:r w:rsidRPr="008354C2">
        <w:rPr>
          <w:rFonts w:ascii="Times New Roman" w:hAnsi="Times New Roman" w:cs="Times New Roman"/>
          <w:b/>
          <w:sz w:val="28"/>
          <w:szCs w:val="28"/>
          <w:lang w:val="vi-VN"/>
        </w:rPr>
        <w:t xml:space="preserve">2.1. </w:t>
      </w:r>
      <w:r w:rsidR="009F16B7" w:rsidRPr="008354C2">
        <w:rPr>
          <w:rFonts w:ascii="Times New Roman" w:hAnsi="Times New Roman" w:cs="Times New Roman"/>
          <w:b/>
          <w:sz w:val="28"/>
          <w:szCs w:val="28"/>
          <w:lang w:val="vi-VN"/>
        </w:rPr>
        <w:t>Định nghĩa chung về bảo hiểm</w:t>
      </w:r>
    </w:p>
    <w:p w:rsidR="009F16B7" w:rsidRPr="008354C2" w:rsidRDefault="009F16B7" w:rsidP="00F800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Theo hướng dẫn của Hiệp hội các nhà quản lý bảo hiểm quốc tế (IAIS), từ quan điểm kinh tế, bảo hiểm là quá trình phân tán rủi ro tổn thất kinh tế giữa nhiều bên nhất có thể chịu cùng một loại rủi ro. Bảo hiểm là một chức năng trung gian, theo đó các cá nhân đóng góp vào một nhóm, từ đó thanh toán cho những cá nhân bị tổn thất gây ra bởi sự kiện được bảo hiểm. Từ quan điểm pháp lý, bảo hiểm là một hợp đồng trong đó một bên - là người bảo hiểm, đồng ý bồi thường cho một bên khác - người được bảo hiểm (hoặc người thụ hưởng được nêu tên), đối với những tổn thất hoặc thiệt hại do rủi ro xác định trong hợp đồng để đổi lấy việc thanh toán số tiền xác định hoặc số tiền định kỳ mà người được bảo hiểm trả cho công ty bảo hiểm”.</w:t>
      </w:r>
    </w:p>
    <w:p w:rsidR="009F16B7" w:rsidRPr="008354C2" w:rsidRDefault="00F800BE" w:rsidP="00F800BE">
      <w:pPr>
        <w:pStyle w:val="ListParagraph"/>
        <w:widowControl w:val="0"/>
        <w:tabs>
          <w:tab w:val="left" w:pos="450"/>
          <w:tab w:val="left" w:pos="1134"/>
        </w:tabs>
        <w:autoSpaceDE w:val="0"/>
        <w:autoSpaceDN w:val="0"/>
        <w:spacing w:before="120" w:after="120"/>
        <w:ind w:left="0"/>
        <w:jc w:val="both"/>
        <w:outlineLvl w:val="3"/>
        <w:rPr>
          <w:rFonts w:ascii="Times New Roman" w:hAnsi="Times New Roman" w:cs="Times New Roman"/>
          <w:b/>
          <w:sz w:val="28"/>
          <w:szCs w:val="28"/>
          <w:lang w:val="vi-VN"/>
        </w:rPr>
      </w:pPr>
      <w:r w:rsidRPr="008354C2">
        <w:rPr>
          <w:rFonts w:ascii="Times New Roman" w:hAnsi="Times New Roman" w:cs="Times New Roman"/>
          <w:b/>
          <w:sz w:val="28"/>
          <w:szCs w:val="28"/>
          <w:lang w:val="vi-VN"/>
        </w:rPr>
        <w:t xml:space="preserve">2.2. </w:t>
      </w:r>
      <w:r w:rsidR="009F16B7" w:rsidRPr="008354C2">
        <w:rPr>
          <w:rFonts w:ascii="Times New Roman" w:hAnsi="Times New Roman" w:cs="Times New Roman"/>
          <w:b/>
          <w:sz w:val="28"/>
          <w:szCs w:val="28"/>
          <w:lang w:val="vi-VN"/>
        </w:rPr>
        <w:t>Định nghĩa chi tiết về kinh doanh bảo hiểm</w:t>
      </w:r>
    </w:p>
    <w:p w:rsidR="009F16B7" w:rsidRPr="008354C2" w:rsidRDefault="009F16B7" w:rsidP="00F800BE">
      <w:pPr>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2.2.1. Nhật Bản</w:t>
      </w:r>
    </w:p>
    <w:p w:rsidR="009F16B7" w:rsidRPr="008354C2" w:rsidRDefault="00B217EB" w:rsidP="00F800BE">
      <w:pPr>
        <w:spacing w:before="120"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
          <w:sz w:val="28"/>
          <w:szCs w:val="28"/>
          <w:lang w:val="vi-VN"/>
        </w:rPr>
        <w:t xml:space="preserve">Theo Điều 2 </w:t>
      </w:r>
      <w:r w:rsidR="009F16B7" w:rsidRPr="008354C2">
        <w:rPr>
          <w:rFonts w:ascii="Times New Roman" w:eastAsia="Times New Roman" w:hAnsi="Times New Roman" w:cs="Times New Roman"/>
          <w:b/>
          <w:sz w:val="28"/>
          <w:szCs w:val="28"/>
          <w:lang w:val="vi-VN"/>
        </w:rPr>
        <w:t>Luật KDBH Nhật Bản,</w:t>
      </w:r>
      <w:r w:rsidR="009F16B7" w:rsidRPr="008354C2">
        <w:rPr>
          <w:rFonts w:ascii="Times New Roman" w:eastAsia="Times New Roman" w:hAnsi="Times New Roman" w:cs="Times New Roman"/>
          <w:sz w:val="28"/>
          <w:szCs w:val="28"/>
          <w:lang w:val="vi-VN"/>
        </w:rPr>
        <w:t xml:space="preserve"> thuật ngữ “Hoạt động kinh doanh bảo hiểm” được sử dụng trong Luật này có nghĩa là hoạt động kinh doanh đối với các rủi ro được liệt kê tại các điểm của Điều 3, khoản (4) hoặc từng điểm của Điều 3, khoản (5) thông qua hình thức bảo hiểm trong đó phí bảo hiểm thu được theo các hợp đồng sẽ được dùng để trả một khoản tiền cố định cho các yêu cầu bồi thường có liên quan đến tính mạng của từng cá nhân dùng để bồi thường cho thiệt hại do tai nạn bất ngờ nhất định.</w:t>
      </w:r>
    </w:p>
    <w:p w:rsidR="009F16B7" w:rsidRPr="008354C2" w:rsidRDefault="009F16B7" w:rsidP="00F800BE">
      <w:pPr>
        <w:widowControl w:val="0"/>
        <w:tabs>
          <w:tab w:val="left" w:pos="450"/>
          <w:tab w:val="left" w:pos="1134"/>
        </w:tabs>
        <w:autoSpaceDE w:val="0"/>
        <w:autoSpaceDN w:val="0"/>
        <w:spacing w:before="120" w:after="120"/>
        <w:ind w:right="-144"/>
        <w:jc w:val="both"/>
        <w:outlineLvl w:val="3"/>
        <w:rPr>
          <w:rFonts w:ascii="Times New Roman" w:hAnsi="Times New Roman" w:cs="Times New Roman"/>
          <w:b/>
          <w:sz w:val="28"/>
          <w:szCs w:val="28"/>
          <w:lang w:val="vi-VN"/>
        </w:rPr>
      </w:pPr>
      <w:r w:rsidRPr="008354C2">
        <w:rPr>
          <w:rFonts w:ascii="Times New Roman" w:hAnsi="Times New Roman" w:cs="Times New Roman"/>
          <w:b/>
          <w:sz w:val="28"/>
          <w:szCs w:val="28"/>
          <w:lang w:val="vi-VN"/>
        </w:rPr>
        <w:t>2.2.2. Hàn Quố</w:t>
      </w:r>
      <w:r w:rsidR="00222EE8" w:rsidRPr="008354C2">
        <w:rPr>
          <w:rFonts w:ascii="Times New Roman" w:hAnsi="Times New Roman" w:cs="Times New Roman"/>
          <w:b/>
          <w:sz w:val="28"/>
          <w:szCs w:val="28"/>
          <w:lang w:val="vi-VN"/>
        </w:rPr>
        <w:t>c</w:t>
      </w:r>
    </w:p>
    <w:p w:rsidR="009F16B7" w:rsidRPr="008354C2" w:rsidRDefault="009F16B7" w:rsidP="00F800BE">
      <w:pPr>
        <w:widowControl w:val="0"/>
        <w:tabs>
          <w:tab w:val="left" w:pos="450"/>
          <w:tab w:val="left" w:pos="1134"/>
        </w:tabs>
        <w:autoSpaceDE w:val="0"/>
        <w:autoSpaceDN w:val="0"/>
        <w:spacing w:before="120" w:after="120"/>
        <w:jc w:val="both"/>
        <w:outlineLvl w:val="3"/>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Luật KDBH Hàn Quốc quy định chi tiết về kinh doanh bảo hiểm tại Điều 2 – định nghĩa các thuật ngữ sử dụng trong Luật như sau: </w:t>
      </w:r>
    </w:p>
    <w:p w:rsidR="00F800BE" w:rsidRPr="008354C2" w:rsidRDefault="009F16B7" w:rsidP="00F80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Thuật ngữ “kinh doanh bảo hiểm” có nghĩa là hoạt động kinh doanh nhận tiền từ người được bảo hiểm để đổi lại việc hứa trả các quyền lợi đã thoả thuận đối với người được bảo hiểm về tính mạng hoặc cái chết của họ và bồi thường thiệt hại do bất kỳ tai nạn nào, v.v. cho người được bảo hiểm, và hoạt động kinh doanh bảo hiểm đó được phân loại thành kinh doanh bảo hiểm nhân thọ, kinh doanh bảo hiểm đối với tổn thất và kinh doanh bảo hiểm trách nhiệm với bên thứ ba.</w:t>
      </w:r>
    </w:p>
    <w:p w:rsidR="00F800BE" w:rsidRPr="008354C2" w:rsidRDefault="009F16B7" w:rsidP="00F80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Thuật ngữ “kinh doanh bảo hiểm nhân thọ” có nghĩa là hoạt động kinh doanh nhận tiền từ người được bảo hiểm để đổi lại việc hứa trả các quyền lợi đã thỏa thuận cho người được bảo hiểm cho cuộc sống hoặc cái chết của họ; </w:t>
      </w:r>
    </w:p>
    <w:p w:rsidR="009F16B7" w:rsidRPr="008354C2" w:rsidRDefault="009F16B7" w:rsidP="00F80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Thuật ngữ “kinh doanh bảo hiểm đối với tổn thất” có nghĩa là hoạt động kinh doanh nhận tiền từ người được bảo hiểm để đổi lại việc hứa bồi thường tổn thất do bất kỳ tai nạn nào gây ra cho người được bảo hiểm (không bao gồm bất kỳ bệnh tật, thương tật và bất kỳ điều dưỡng nào được quy định tại điểm 4) ( bao gồm việc kinh doanh nhận thù lao từ bất kỳ con nợ nào và bất kỳ người có nghĩa vụ nào để đổi lại việc hứa với họ bồi thường thiệt hại mà bất kỳ chủ nợ nào phải chịu và bất kỳ người yêu cầu nào phải chịu trách nhiệm về việc thực hiện các nghĩa vụ phát sinh từ bất kỳ giao dịch nào, bất kỳ việc làm nào, bất kỳ hợp đồng nào hoặc việc hoàn thành nghĩa vụ phù hợp với các Đạo luật và các quy chế dưới luật)</w:t>
      </w:r>
    </w:p>
    <w:p w:rsidR="009F16B7" w:rsidRPr="008354C2" w:rsidRDefault="009F16B7" w:rsidP="00222EE8">
      <w:pPr>
        <w:spacing w:before="120" w:after="120"/>
        <w:jc w:val="both"/>
        <w:rPr>
          <w:rFonts w:ascii="Times New Roman" w:hAnsi="Times New Roman"/>
          <w:b/>
          <w:sz w:val="28"/>
          <w:szCs w:val="28"/>
          <w:lang w:val="vi-VN"/>
        </w:rPr>
      </w:pPr>
      <w:r w:rsidRPr="008354C2">
        <w:rPr>
          <w:rFonts w:ascii="Times New Roman" w:hAnsi="Times New Roman"/>
          <w:b/>
          <w:sz w:val="28"/>
          <w:szCs w:val="28"/>
          <w:lang w:val="vi-VN"/>
        </w:rPr>
        <w:t>2.2.3. Trung Quốc</w:t>
      </w:r>
    </w:p>
    <w:p w:rsidR="009F16B7" w:rsidRPr="008354C2" w:rsidRDefault="009F16B7" w:rsidP="00222EE8">
      <w:pPr>
        <w:spacing w:before="120" w:after="120"/>
        <w:jc w:val="both"/>
        <w:rPr>
          <w:rFonts w:ascii="Times New Roman" w:hAnsi="Times New Roman"/>
          <w:sz w:val="28"/>
          <w:szCs w:val="28"/>
          <w:lang w:val="vi-VN"/>
        </w:rPr>
      </w:pPr>
      <w:r w:rsidRPr="008354C2">
        <w:rPr>
          <w:rFonts w:ascii="Times New Roman" w:hAnsi="Times New Roman"/>
          <w:sz w:val="28"/>
          <w:szCs w:val="28"/>
          <w:lang w:val="vi-VN"/>
        </w:rPr>
        <w:t>Theo Điều 2, Luật KDBH Trung Quốc: Thuật ngữ "bảo hiểm" là hoạt động bảo hiểm thương mại mà chủ hợp đồng bảo hiểm trả tiền phí bảo hiểm cho công ty bảo hiểm theo hợp đồng bảo hiểm và công ty bảo hiểm phải chịu trách nhiệm về tổn thất tài sản do sự cố xảy ra theo quy định trong hợp đồng bảo hiểm hoặc chi trả quyền lợi khi người được bảo hiểm chết, bị tàn tật hoặc ốm đau hoặc đến một độ tuổi, giới hạn thời gian cụ thể hoặc bất kỳ điều kiện nào khác được quy định trong hợp đồng.</w:t>
      </w:r>
    </w:p>
    <w:p w:rsidR="009F16B7" w:rsidRPr="008354C2" w:rsidRDefault="009F16B7" w:rsidP="00222EE8">
      <w:pPr>
        <w:spacing w:before="120" w:after="120"/>
        <w:jc w:val="both"/>
        <w:rPr>
          <w:rFonts w:ascii="Times New Roman" w:eastAsia="Times New Roman" w:hAnsi="Times New Roman" w:cs="Times New Roman"/>
          <w:b/>
          <w:sz w:val="28"/>
          <w:szCs w:val="28"/>
          <w:lang w:val="vi-VN"/>
        </w:rPr>
      </w:pPr>
      <w:r w:rsidRPr="008354C2">
        <w:rPr>
          <w:rFonts w:ascii="Times New Roman" w:eastAsia="Times New Roman" w:hAnsi="Times New Roman" w:cs="Times New Roman"/>
          <w:b/>
          <w:sz w:val="28"/>
          <w:szCs w:val="28"/>
          <w:lang w:val="vi-VN"/>
        </w:rPr>
        <w:t>2.2.4. Đài Loan</w:t>
      </w:r>
    </w:p>
    <w:p w:rsidR="009F16B7" w:rsidRPr="008354C2" w:rsidRDefault="009F16B7" w:rsidP="009B5F58">
      <w:pPr>
        <w:spacing w:before="120" w:after="120"/>
        <w:ind w:firstLine="720"/>
        <w:jc w:val="both"/>
        <w:rPr>
          <w:rFonts w:ascii="Times New Roman" w:eastAsia="Times New Roman" w:hAnsi="Times New Roman" w:cs="Times New Roman"/>
          <w:sz w:val="28"/>
          <w:szCs w:val="28"/>
          <w:lang w:val="vi-VN"/>
        </w:rPr>
      </w:pPr>
    </w:p>
    <w:p w:rsidR="009F16B7" w:rsidRPr="008354C2" w:rsidRDefault="009F16B7" w:rsidP="00222EE8">
      <w:pPr>
        <w:spacing w:before="120"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Theo Điều 1, Luật Bảo hiểm của Đài Loan: Thuật ngữ “bảo hiểm” có nghĩa là một hành động theo đó các bên liên quan đồng ý rằng một bên trả  phí bảo hiểm cho bên kia và bên kia chịu trách nhiệm bồi thường thiệt hại bằng tiền do các sự kiện không lường trước hoặc sự kiện bất khả kháng gây ra cho bên trả phí bảo hiểm (chủ hợp đồng bảo hiểm). Một hợp đồng được ký kết theo mô tả ở đoạn văn trên được gọi là "hợp đồng bảo hiểm". </w:t>
      </w:r>
    </w:p>
    <w:p w:rsidR="00DF0A17" w:rsidRPr="008354C2" w:rsidRDefault="00DF0A17" w:rsidP="00E41B32">
      <w:pPr>
        <w:jc w:val="center"/>
        <w:rPr>
          <w:rFonts w:ascii="Times New Roman" w:hAnsi="Times New Roman" w:cs="Times New Roman"/>
          <w:lang w:val="vi-VN"/>
        </w:rPr>
      </w:pPr>
    </w:p>
    <w:p w:rsidR="00DF0A17" w:rsidRPr="008354C2" w:rsidRDefault="00DF0A17" w:rsidP="00E41B32">
      <w:pPr>
        <w:jc w:val="center"/>
        <w:rPr>
          <w:rFonts w:ascii="Times New Roman" w:hAnsi="Times New Roman" w:cs="Times New Roman"/>
          <w:lang w:val="vi-VN"/>
        </w:rPr>
      </w:pPr>
    </w:p>
    <w:p w:rsidR="00DF0A17" w:rsidRPr="008354C2" w:rsidRDefault="00DF0A17" w:rsidP="00E41B32">
      <w:pPr>
        <w:jc w:val="center"/>
        <w:rPr>
          <w:rFonts w:ascii="Times New Roman" w:hAnsi="Times New Roman" w:cs="Times New Roman"/>
          <w:lang w:val="vi-VN"/>
        </w:rPr>
      </w:pPr>
    </w:p>
    <w:p w:rsidR="00DF0A17" w:rsidRPr="008354C2" w:rsidRDefault="00DF0A17" w:rsidP="00E41B32">
      <w:pPr>
        <w:jc w:val="center"/>
        <w:rPr>
          <w:rFonts w:ascii="Times New Roman" w:hAnsi="Times New Roman" w:cs="Times New Roman"/>
          <w:lang w:val="vi-VN"/>
        </w:rPr>
      </w:pPr>
    </w:p>
    <w:p w:rsidR="00DF0A17" w:rsidRPr="008354C2" w:rsidRDefault="00DF0A17" w:rsidP="00E41B32">
      <w:pPr>
        <w:jc w:val="center"/>
        <w:rPr>
          <w:rFonts w:ascii="Times New Roman" w:hAnsi="Times New Roman" w:cs="Times New Roman"/>
          <w:lang w:val="vi-VN"/>
        </w:rPr>
      </w:pPr>
    </w:p>
    <w:p w:rsidR="00DF0A17" w:rsidRPr="008354C2" w:rsidRDefault="00DF0A17" w:rsidP="00E41B32">
      <w:pPr>
        <w:jc w:val="center"/>
        <w:rPr>
          <w:rFonts w:ascii="Times New Roman" w:hAnsi="Times New Roman" w:cs="Times New Roman"/>
          <w:lang w:val="vi-VN"/>
        </w:rPr>
      </w:pPr>
    </w:p>
    <w:p w:rsidR="00DF0A17" w:rsidRPr="008354C2" w:rsidRDefault="00DF0A17" w:rsidP="00E41B32">
      <w:pPr>
        <w:jc w:val="center"/>
        <w:rPr>
          <w:rFonts w:ascii="Times New Roman" w:hAnsi="Times New Roman" w:cs="Times New Roman"/>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392157" w:rsidRPr="008354C2" w:rsidRDefault="00392157" w:rsidP="004774EE">
      <w:pPr>
        <w:spacing w:after="160" w:line="259" w:lineRule="auto"/>
        <w:jc w:val="center"/>
        <w:rPr>
          <w:rFonts w:ascii="Times New Roman" w:eastAsia="Arial" w:hAnsi="Times New Roman" w:cs="Times New Roman"/>
          <w:b/>
          <w:sz w:val="28"/>
          <w:szCs w:val="28"/>
          <w:lang w:val="vi-VN"/>
        </w:rPr>
      </w:pPr>
    </w:p>
    <w:p w:rsidR="004774EE" w:rsidRPr="008354C2" w:rsidRDefault="004774EE" w:rsidP="004774EE">
      <w:pPr>
        <w:spacing w:after="160" w:line="259" w:lineRule="auto"/>
        <w:jc w:val="center"/>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PHẦN THỨ HAI</w:t>
      </w:r>
    </w:p>
    <w:p w:rsidR="004774EE" w:rsidRPr="008354C2" w:rsidRDefault="004774EE" w:rsidP="004774EE">
      <w:pPr>
        <w:spacing w:before="120" w:after="120"/>
        <w:jc w:val="center"/>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QUY ĐỊNH LUẬT VỀ KINH DOANH BẢO HIỂM VÀ THỊ TRƯỜNG BẢO HIỂM CỦA MỘT SỐ NƯỚC TRÊN THẾ GIỚI</w:t>
      </w:r>
    </w:p>
    <w:p w:rsidR="004774EE" w:rsidRPr="008354C2" w:rsidRDefault="004774EE" w:rsidP="004774E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I. CHÍNH SÁCH 1: HOÀN THIỆN CÁC QUY ĐỊNH VỀ MÔ HÌNH TỔ CHỨC, ĐIỀU KIỆN THÀNH LẬP, HOẠT ĐỘNG</w:t>
      </w:r>
    </w:p>
    <w:p w:rsidR="00DD7E67" w:rsidRPr="008354C2" w:rsidRDefault="004F7BA2" w:rsidP="00DD7E67">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1. </w:t>
      </w:r>
      <w:r w:rsidR="00B079A9" w:rsidRPr="008354C2">
        <w:rPr>
          <w:rFonts w:ascii="Times New Roman" w:eastAsia="Arial" w:hAnsi="Times New Roman" w:cs="Times New Roman"/>
          <w:b/>
          <w:sz w:val="28"/>
          <w:szCs w:val="28"/>
          <w:lang w:val="vi-VN"/>
        </w:rPr>
        <w:t>Quy định về</w:t>
      </w:r>
      <w:r w:rsidRPr="008354C2">
        <w:rPr>
          <w:rFonts w:ascii="Times New Roman" w:eastAsia="Arial" w:hAnsi="Times New Roman" w:cs="Times New Roman"/>
          <w:b/>
          <w:sz w:val="28"/>
          <w:szCs w:val="28"/>
          <w:lang w:val="vi-VN"/>
        </w:rPr>
        <w:t xml:space="preserve"> điều kiện thành lập và hoạt độ</w:t>
      </w:r>
      <w:r w:rsidR="009B05D5" w:rsidRPr="008354C2">
        <w:rPr>
          <w:rFonts w:ascii="Times New Roman" w:eastAsia="Arial" w:hAnsi="Times New Roman" w:cs="Times New Roman"/>
          <w:b/>
          <w:sz w:val="28"/>
          <w:szCs w:val="28"/>
          <w:lang w:val="vi-VN"/>
        </w:rPr>
        <w:t xml:space="preserve">ng </w:t>
      </w:r>
      <w:r w:rsidRPr="008354C2">
        <w:rPr>
          <w:rFonts w:ascii="Times New Roman" w:eastAsia="Arial" w:hAnsi="Times New Roman" w:cs="Times New Roman"/>
          <w:b/>
          <w:sz w:val="28"/>
          <w:szCs w:val="28"/>
          <w:lang w:val="vi-VN"/>
        </w:rPr>
        <w:t>của doanh nghiệp bảo hiể</w:t>
      </w:r>
      <w:r w:rsidR="00DD7E67" w:rsidRPr="008354C2">
        <w:rPr>
          <w:rFonts w:ascii="Times New Roman" w:eastAsia="Arial" w:hAnsi="Times New Roman" w:cs="Times New Roman"/>
          <w:b/>
          <w:sz w:val="28"/>
          <w:szCs w:val="28"/>
          <w:lang w:val="vi-VN"/>
        </w:rPr>
        <w:t>m</w:t>
      </w:r>
    </w:p>
    <w:p w:rsidR="00D83C1C" w:rsidRPr="008354C2" w:rsidRDefault="00D83C1C" w:rsidP="00DD7E67">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Tham khảo kinh nghiệm một số nước trong cùng khu vực, nội</w:t>
      </w:r>
      <w:r w:rsidR="009B05D5" w:rsidRPr="008354C2">
        <w:rPr>
          <w:rFonts w:ascii="Times New Roman" w:eastAsia="Arial" w:hAnsi="Times New Roman" w:cs="Times New Roman"/>
          <w:sz w:val="28"/>
          <w:szCs w:val="28"/>
          <w:lang w:val="vi-VN"/>
        </w:rPr>
        <w:t xml:space="preserve"> dung</w:t>
      </w:r>
      <w:r w:rsidRPr="008354C2">
        <w:rPr>
          <w:rFonts w:ascii="Times New Roman" w:eastAsia="Arial" w:hAnsi="Times New Roman" w:cs="Times New Roman"/>
          <w:sz w:val="28"/>
          <w:szCs w:val="28"/>
          <w:lang w:val="vi-VN"/>
        </w:rPr>
        <w:t xml:space="preserve"> </w:t>
      </w:r>
      <w:r w:rsidR="009B05D5" w:rsidRPr="008354C2">
        <w:rPr>
          <w:rFonts w:ascii="Times New Roman" w:eastAsia="Arial" w:hAnsi="Times New Roman" w:cs="Times New Roman"/>
          <w:sz w:val="28"/>
          <w:szCs w:val="28"/>
          <w:lang w:val="vi-VN"/>
        </w:rPr>
        <w:t xml:space="preserve">về điều kiện </w:t>
      </w:r>
      <w:r w:rsidRPr="008354C2">
        <w:rPr>
          <w:rFonts w:ascii="Times New Roman" w:eastAsia="Arial" w:hAnsi="Times New Roman" w:cs="Times New Roman"/>
          <w:sz w:val="28"/>
          <w:szCs w:val="28"/>
          <w:lang w:val="vi-VN"/>
        </w:rPr>
        <w:t>thành lập và hoạt động được chia ra một số nội dung chủ yếu sau:</w:t>
      </w:r>
    </w:p>
    <w:p w:rsidR="00DD7E67" w:rsidRPr="008354C2" w:rsidRDefault="00FE1890" w:rsidP="002F7420">
      <w:pPr>
        <w:spacing w:before="120" w:after="120"/>
        <w:jc w:val="both"/>
        <w:rPr>
          <w:rFonts w:ascii="Times New Roman" w:hAnsi="Times New Roman"/>
          <w:sz w:val="28"/>
          <w:lang w:val="vi-VN"/>
        </w:rPr>
      </w:pPr>
      <w:r w:rsidRPr="008354C2">
        <w:rPr>
          <w:rFonts w:ascii="Times New Roman" w:eastAsia="Arial" w:hAnsi="Times New Roman" w:cs="Times New Roman"/>
          <w:b/>
          <w:sz w:val="28"/>
          <w:szCs w:val="28"/>
          <w:lang w:val="vi-VN"/>
        </w:rPr>
        <w:t xml:space="preserve">1.1. </w:t>
      </w:r>
      <w:r w:rsidR="00DD7E67" w:rsidRPr="008354C2">
        <w:rPr>
          <w:rFonts w:ascii="Times New Roman" w:eastAsia="Arial" w:hAnsi="Times New Roman" w:cs="Times New Roman"/>
          <w:b/>
          <w:sz w:val="28"/>
          <w:szCs w:val="28"/>
          <w:lang w:val="vi-VN"/>
        </w:rPr>
        <w:t xml:space="preserve">Về các hình thức hoạt động: </w:t>
      </w:r>
      <w:r w:rsidR="00DD7E67" w:rsidRPr="008354C2">
        <w:rPr>
          <w:rFonts w:ascii="Times New Roman" w:hAnsi="Times New Roman"/>
          <w:sz w:val="28"/>
          <w:lang w:val="vi-VN"/>
        </w:rPr>
        <w:t xml:space="preserve">Doanh nghiệp bảo hiểm được tổ chức chủ yếu dưới dạng công ty cổ phần, công ty trách nhiệm hữu hạn như quy định của một số nước trong khu vực như Đài Loan hoặc Nhật Bản. </w:t>
      </w:r>
    </w:p>
    <w:p w:rsidR="002F7420" w:rsidRPr="008354C2" w:rsidRDefault="00BF32A2" w:rsidP="002F7420">
      <w:pPr>
        <w:spacing w:before="120" w:after="120"/>
        <w:jc w:val="both"/>
        <w:rPr>
          <w:rFonts w:ascii="Times New Roman" w:eastAsia="Arial" w:hAnsi="Times New Roman" w:cs="Times New Roman"/>
          <w:b/>
          <w:sz w:val="28"/>
          <w:szCs w:val="28"/>
          <w:lang w:val="vi-VN"/>
        </w:rPr>
      </w:pPr>
      <w:r w:rsidRPr="008354C2">
        <w:rPr>
          <w:rFonts w:ascii="Times New Roman" w:hAnsi="Times New Roman"/>
          <w:b/>
          <w:sz w:val="28"/>
          <w:lang w:val="vi-VN"/>
        </w:rPr>
        <w:t>1.2. Về cơ quan có thẩm quyền cấp phép</w:t>
      </w:r>
      <w:r w:rsidRPr="008354C2">
        <w:rPr>
          <w:rFonts w:ascii="Times New Roman" w:hAnsi="Times New Roman"/>
          <w:sz w:val="28"/>
          <w:lang w:val="vi-VN"/>
        </w:rPr>
        <w:t xml:space="preserve">: </w:t>
      </w:r>
      <w:r w:rsidRPr="008354C2">
        <w:rPr>
          <w:rFonts w:ascii="Times New Roman" w:eastAsia="Arial" w:hAnsi="Times New Roman" w:cs="Times New Roman"/>
          <w:sz w:val="28"/>
          <w:lang w:val="vi-VN"/>
        </w:rPr>
        <w:t xml:space="preserve">Tùy theo hệ thống quản lý nhà nước đối với từng quốc gia mà cơ quan có thẩm quyền cấp phép doanh nghiệp bảo hiểm lại khác nhau. </w:t>
      </w:r>
    </w:p>
    <w:p w:rsidR="002F7420" w:rsidRPr="008354C2" w:rsidRDefault="00BF32A2" w:rsidP="002F7420">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i/>
          <w:sz w:val="28"/>
          <w:lang w:val="vi-VN"/>
        </w:rPr>
        <w:t>Trung Quốc</w:t>
      </w:r>
      <w:r w:rsidRPr="008354C2">
        <w:rPr>
          <w:rFonts w:ascii="Times New Roman" w:eastAsia="Arial" w:hAnsi="Times New Roman" w:cs="Times New Roman"/>
          <w:sz w:val="28"/>
          <w:lang w:val="vi-VN"/>
        </w:rPr>
        <w:t>: Cơ quan quản lý nhà nước thuộc Quốc vụ Viện</w:t>
      </w:r>
    </w:p>
    <w:p w:rsidR="002F7420" w:rsidRPr="008354C2" w:rsidRDefault="00BF32A2" w:rsidP="002F7420">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i/>
          <w:sz w:val="28"/>
          <w:lang w:val="vi-VN"/>
        </w:rPr>
        <w:t>Nhật Bản</w:t>
      </w:r>
      <w:r w:rsidRPr="008354C2">
        <w:rPr>
          <w:rFonts w:ascii="Times New Roman" w:eastAsia="Arial" w:hAnsi="Times New Roman" w:cs="Times New Roman"/>
          <w:sz w:val="28"/>
          <w:lang w:val="vi-VN"/>
        </w:rPr>
        <w:t>: Thủ tướng cấp, các hoạt động được điều chỉnh theo Pháp lệnh của Văn phòng nội các.</w:t>
      </w:r>
    </w:p>
    <w:p w:rsidR="0037570B" w:rsidRPr="008354C2" w:rsidRDefault="00BF32A2" w:rsidP="0037570B">
      <w:pPr>
        <w:spacing w:before="120" w:after="120"/>
        <w:jc w:val="both"/>
        <w:rPr>
          <w:rFonts w:ascii="Times New Roman" w:eastAsia="Arial" w:hAnsi="Times New Roman" w:cs="Times New Roman"/>
          <w:sz w:val="28"/>
          <w:lang w:val="vi-VN"/>
        </w:rPr>
      </w:pPr>
      <w:r w:rsidRPr="008354C2">
        <w:rPr>
          <w:rFonts w:ascii="Times New Roman" w:eastAsia="Arial" w:hAnsi="Times New Roman" w:cs="Times New Roman"/>
          <w:i/>
          <w:sz w:val="28"/>
          <w:lang w:val="vi-VN"/>
        </w:rPr>
        <w:t>Đài Loan</w:t>
      </w:r>
      <w:r w:rsidRPr="008354C2">
        <w:rPr>
          <w:rFonts w:ascii="Times New Roman" w:eastAsia="Arial" w:hAnsi="Times New Roman" w:cs="Times New Roman"/>
          <w:sz w:val="28"/>
          <w:lang w:val="vi-VN"/>
        </w:rPr>
        <w:t>: Ngân hàng Trung ương Đài Loan;</w:t>
      </w:r>
    </w:p>
    <w:p w:rsidR="0037570B" w:rsidRPr="008354C2" w:rsidRDefault="0037570B" w:rsidP="0037570B">
      <w:pPr>
        <w:spacing w:before="120" w:after="120"/>
        <w:jc w:val="both"/>
        <w:rPr>
          <w:rFonts w:ascii="Times New Roman" w:eastAsia="Arial" w:hAnsi="Times New Roman" w:cs="Times New Roman"/>
          <w:sz w:val="28"/>
          <w:lang w:val="vi-VN"/>
        </w:rPr>
      </w:pPr>
      <w:r w:rsidRPr="008354C2">
        <w:rPr>
          <w:rFonts w:ascii="Times New Roman" w:eastAsia="Arial" w:hAnsi="Times New Roman" w:cs="Times New Roman"/>
          <w:b/>
          <w:sz w:val="28"/>
          <w:lang w:val="vi-VN"/>
        </w:rPr>
        <w:t xml:space="preserve">1.3. Về điều kiện của chủ đầu tư: </w:t>
      </w:r>
      <w:r w:rsidRPr="008354C2">
        <w:rPr>
          <w:rFonts w:ascii="Times New Roman" w:eastAsia="Arial" w:hAnsi="Times New Roman" w:cs="Times New Roman"/>
          <w:sz w:val="28"/>
          <w:lang w:val="vi-VN"/>
        </w:rPr>
        <w:t>Luật Trung Quốc quy định cổ đông lớn của công ty bảo hiểm có khả năng sinh lợi bền vững, có tình hình tín dụng tốt, không có hồ sơ vi phạm pháp luật hoặc quy định nghiêm trọng trong ba năm gần nhất và có tài sản ròng không dưới 200 triệu RMB (Nhân dân tệ); Luật Nhật Bản đánh giá dựa trên nền tảng tài chính phù hợp để thực hiện hoạt động kinh doanh, hiệu quả và có triển vọng tốt về thu nhập và chi phí liên quan đến hoạt động kinh doanh.</w:t>
      </w:r>
    </w:p>
    <w:p w:rsidR="0037570B" w:rsidRPr="008354C2" w:rsidRDefault="0037570B" w:rsidP="0037570B">
      <w:pPr>
        <w:spacing w:before="120" w:after="120"/>
        <w:jc w:val="both"/>
        <w:rPr>
          <w:rFonts w:ascii="Times New Roman" w:eastAsia="Arial" w:hAnsi="Times New Roman" w:cs="Times New Roman"/>
          <w:sz w:val="28"/>
          <w:lang w:val="vi-VN"/>
        </w:rPr>
      </w:pPr>
      <w:r w:rsidRPr="008354C2">
        <w:rPr>
          <w:rFonts w:ascii="Times New Roman" w:eastAsia="Arial" w:hAnsi="Times New Roman" w:cs="Times New Roman"/>
          <w:b/>
          <w:sz w:val="28"/>
          <w:lang w:val="vi-VN"/>
        </w:rPr>
        <w:t>1.4.</w:t>
      </w:r>
      <w:r w:rsidRPr="008354C2">
        <w:rPr>
          <w:rFonts w:ascii="Times New Roman" w:eastAsia="Arial" w:hAnsi="Times New Roman" w:cs="Times New Roman"/>
          <w:sz w:val="28"/>
          <w:lang w:val="vi-VN"/>
        </w:rPr>
        <w:t xml:space="preserve"> </w:t>
      </w:r>
      <w:r w:rsidRPr="008354C2">
        <w:rPr>
          <w:rFonts w:ascii="Times New Roman" w:eastAsia="Arial" w:hAnsi="Times New Roman" w:cs="Times New Roman"/>
          <w:b/>
          <w:sz w:val="28"/>
          <w:lang w:val="vi-VN"/>
        </w:rPr>
        <w:t>Về những thay đổi cần chấp thuận:</w:t>
      </w:r>
      <w:r w:rsidRPr="008354C2">
        <w:rPr>
          <w:rFonts w:ascii="Times New Roman" w:eastAsia="Arial" w:hAnsi="Times New Roman" w:cs="Times New Roman"/>
          <w:sz w:val="28"/>
          <w:lang w:val="vi-VN"/>
        </w:rPr>
        <w:t xml:space="preserve"> Hiện tại </w:t>
      </w:r>
      <w:r w:rsidRPr="008354C2">
        <w:rPr>
          <w:rFonts w:ascii="Times New Roman" w:eastAsia="Arial" w:hAnsi="Times New Roman" w:cs="Times New Roman"/>
          <w:i/>
          <w:sz w:val="28"/>
          <w:lang w:val="vi-VN"/>
        </w:rPr>
        <w:t>Luật Trung Quốc</w:t>
      </w:r>
      <w:r w:rsidRPr="008354C2">
        <w:rPr>
          <w:rFonts w:ascii="Times New Roman" w:eastAsia="Arial" w:hAnsi="Times New Roman" w:cs="Times New Roman"/>
          <w:sz w:val="28"/>
          <w:lang w:val="vi-VN"/>
        </w:rPr>
        <w:t xml:space="preserve"> quy định những nội dung cần chấp thuận bao gồm: thay đổi trụ sở kinh doanh của công ty hoặc văn phòng chi nhánh của công ty; đóng cửa văn phòng chi nhánh, sửa đổi điều lệ của công ty, thay đổi cổ đông có số vốn góp chiếm từ 5% trở lên. </w:t>
      </w:r>
    </w:p>
    <w:p w:rsidR="0037570B" w:rsidRPr="008354C2" w:rsidRDefault="0037570B" w:rsidP="0037570B">
      <w:pPr>
        <w:spacing w:before="120" w:after="120"/>
        <w:jc w:val="both"/>
        <w:rPr>
          <w:rFonts w:ascii="Times New Roman" w:eastAsia="Arial" w:hAnsi="Times New Roman" w:cs="Times New Roman"/>
          <w:sz w:val="28"/>
          <w:lang w:val="vi-VN"/>
        </w:rPr>
      </w:pPr>
      <w:r w:rsidRPr="008354C2">
        <w:rPr>
          <w:rFonts w:ascii="Times New Roman" w:eastAsia="Arial" w:hAnsi="Times New Roman" w:cs="Times New Roman"/>
          <w:sz w:val="28"/>
          <w:lang w:val="vi-VN"/>
        </w:rPr>
        <w:t xml:space="preserve">Tuy nhiên, các doanh nghiệp bảo hiểm của </w:t>
      </w:r>
      <w:r w:rsidRPr="008354C2">
        <w:rPr>
          <w:rFonts w:ascii="Times New Roman" w:eastAsia="Arial" w:hAnsi="Times New Roman" w:cs="Times New Roman"/>
          <w:i/>
          <w:sz w:val="28"/>
          <w:lang w:val="vi-VN"/>
        </w:rPr>
        <w:t>Nhật Bản</w:t>
      </w:r>
      <w:r w:rsidRPr="008354C2">
        <w:rPr>
          <w:rFonts w:ascii="Times New Roman" w:eastAsia="Arial" w:hAnsi="Times New Roman" w:cs="Times New Roman"/>
          <w:sz w:val="28"/>
          <w:lang w:val="vi-VN"/>
        </w:rPr>
        <w:t xml:space="preserve"> lại có trách  nhiệm báo cáo lên Thủ tướng khi sửa đổi điều lệ, thành lập chi nhánh, văn phòng phụ hoặc văn phòng đại diện tại nước ngoài, thay đổi tỷ lệ sở hữu của cổ đông có quyền biểu quyết trên 5%.</w:t>
      </w:r>
    </w:p>
    <w:p w:rsidR="0037570B" w:rsidRPr="008354C2" w:rsidRDefault="00DA4353" w:rsidP="002F7420">
      <w:pPr>
        <w:spacing w:before="120" w:after="120"/>
        <w:jc w:val="both"/>
        <w:rPr>
          <w:rFonts w:ascii="Times New Roman" w:eastAsia="Arial" w:hAnsi="Times New Roman" w:cs="Times New Roman"/>
          <w:sz w:val="28"/>
          <w:lang w:val="vi-VN"/>
        </w:rPr>
      </w:pPr>
      <w:r w:rsidRPr="008354C2">
        <w:rPr>
          <w:rFonts w:ascii="Times New Roman" w:eastAsia="Arial" w:hAnsi="Times New Roman" w:cs="Times New Roman"/>
          <w:b/>
          <w:sz w:val="28"/>
          <w:lang w:val="vi-VN"/>
        </w:rPr>
        <w:t xml:space="preserve">1.5. </w:t>
      </w:r>
      <w:r w:rsidR="0037570B" w:rsidRPr="008354C2">
        <w:rPr>
          <w:rFonts w:ascii="Times New Roman" w:eastAsia="Arial" w:hAnsi="Times New Roman" w:cs="Times New Roman"/>
          <w:b/>
          <w:sz w:val="28"/>
          <w:lang w:val="vi-VN"/>
        </w:rPr>
        <w:t>Về thời hạn cấp phép:</w:t>
      </w:r>
      <w:r w:rsidR="0037570B" w:rsidRPr="008354C2">
        <w:rPr>
          <w:rFonts w:ascii="Times New Roman" w:eastAsia="Arial" w:hAnsi="Times New Roman" w:cs="Times New Roman"/>
          <w:sz w:val="28"/>
          <w:lang w:val="vi-VN"/>
        </w:rPr>
        <w:t xml:space="preserve"> Việt Nam quy định thời hạn 60 ngày, kể từ ngày nhận đủ hồ sơ đề nghị cấp giấy phép thành lập và hoạt động, Bộ Tài chính phải cấp hoặc từ chối cấp giấy phép. Tuy nhiên theo Luật Trung Quốc, Quốc vụ viện kiểm tra hồ sơ và ra quyết định phê duyệt hoặc không chấp thuận trong vòng sáu tháng sau khi nhận đơn đề nghị.</w:t>
      </w:r>
    </w:p>
    <w:p w:rsidR="0037570B" w:rsidRPr="008354C2" w:rsidRDefault="003339A4" w:rsidP="0037570B">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 Phạm vi,</w:t>
      </w:r>
      <w:r w:rsidR="0037570B" w:rsidRPr="008354C2">
        <w:rPr>
          <w:rFonts w:ascii="Times New Roman" w:eastAsia="Arial" w:hAnsi="Times New Roman" w:cs="Times New Roman"/>
          <w:b/>
          <w:sz w:val="28"/>
          <w:szCs w:val="28"/>
          <w:lang w:val="vi-VN"/>
        </w:rPr>
        <w:t xml:space="preserve"> n</w:t>
      </w:r>
      <w:r w:rsidR="00EE5B9F" w:rsidRPr="008354C2">
        <w:rPr>
          <w:rFonts w:ascii="Times New Roman" w:eastAsia="Arial" w:hAnsi="Times New Roman" w:cs="Times New Roman"/>
          <w:b/>
          <w:sz w:val="28"/>
          <w:szCs w:val="28"/>
          <w:lang w:val="vi-VN"/>
        </w:rPr>
        <w:t>ội dung hoạt động của</w:t>
      </w:r>
      <w:r w:rsidRPr="008354C2">
        <w:rPr>
          <w:rFonts w:ascii="Times New Roman" w:eastAsia="Arial" w:hAnsi="Times New Roman" w:cs="Times New Roman"/>
          <w:b/>
          <w:sz w:val="28"/>
          <w:szCs w:val="28"/>
          <w:lang w:val="vi-VN"/>
        </w:rPr>
        <w:t xml:space="preserve"> </w:t>
      </w:r>
      <w:r w:rsidR="00EE5B9F" w:rsidRPr="008354C2">
        <w:rPr>
          <w:rFonts w:ascii="Times New Roman" w:eastAsia="Arial" w:hAnsi="Times New Roman" w:cs="Times New Roman"/>
          <w:b/>
          <w:sz w:val="28"/>
          <w:szCs w:val="28"/>
          <w:lang w:val="vi-VN"/>
        </w:rPr>
        <w:t>doanh nghiệp</w:t>
      </w:r>
      <w:r w:rsidRPr="008354C2">
        <w:rPr>
          <w:rFonts w:ascii="Times New Roman" w:eastAsia="Arial" w:hAnsi="Times New Roman" w:cs="Times New Roman"/>
          <w:b/>
          <w:sz w:val="28"/>
          <w:szCs w:val="28"/>
          <w:lang w:val="vi-VN"/>
        </w:rPr>
        <w:t xml:space="preserve"> bảo hiểm</w:t>
      </w:r>
    </w:p>
    <w:p w:rsidR="00D80F58" w:rsidRPr="008354C2" w:rsidRDefault="003339A4" w:rsidP="003339A4">
      <w:pPr>
        <w:spacing w:before="120" w:after="120"/>
        <w:jc w:val="both"/>
        <w:rPr>
          <w:rFonts w:ascii="Times New Roman" w:eastAsia="Arial" w:hAnsi="Times New Roman" w:cs="Times New Roman"/>
          <w:sz w:val="28"/>
          <w:lang w:val="vi-VN"/>
        </w:rPr>
      </w:pPr>
      <w:r w:rsidRPr="008354C2">
        <w:rPr>
          <w:rFonts w:ascii="Times New Roman" w:eastAsia="Arial" w:hAnsi="Times New Roman" w:cs="Times New Roman"/>
          <w:b/>
          <w:sz w:val="28"/>
          <w:lang w:val="vi-VN"/>
        </w:rPr>
        <w:t xml:space="preserve">2.1. </w:t>
      </w:r>
      <w:r w:rsidR="00085B77" w:rsidRPr="008354C2">
        <w:rPr>
          <w:rFonts w:ascii="Times New Roman" w:eastAsia="Arial" w:hAnsi="Times New Roman" w:cs="Times New Roman"/>
          <w:b/>
          <w:sz w:val="28"/>
          <w:lang w:val="vi-VN"/>
        </w:rPr>
        <w:t>Nguyên lý chung về phạm vi, nội dung hoạt động của doanh nghiệp bảo hiểm</w:t>
      </w:r>
    </w:p>
    <w:p w:rsidR="003339A4" w:rsidRPr="008354C2" w:rsidRDefault="0037570B" w:rsidP="003339A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lang w:val="vi-VN"/>
        </w:rPr>
        <w:t>Các quốc gia trong khu vực đều hoạt động theo nguyên lý chung là các doanh nghiệp bảo hiểm không được kinh doanh đồng thời bảo hiểm nhân thọ và bảo hiểm phi nhân thọ.</w:t>
      </w:r>
    </w:p>
    <w:p w:rsidR="003339A4" w:rsidRPr="008354C2" w:rsidRDefault="00D80F58" w:rsidP="003339A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2.1.1. </w:t>
      </w:r>
      <w:r w:rsidR="0037570B" w:rsidRPr="008354C2">
        <w:rPr>
          <w:rFonts w:ascii="Times New Roman" w:eastAsia="Arial" w:hAnsi="Times New Roman" w:cs="Times New Roman"/>
          <w:b/>
          <w:sz w:val="28"/>
          <w:lang w:val="vi-VN"/>
        </w:rPr>
        <w:t>Trung Quốc</w:t>
      </w:r>
      <w:r w:rsidR="0037570B" w:rsidRPr="008354C2">
        <w:rPr>
          <w:rFonts w:ascii="Times New Roman" w:eastAsia="Arial" w:hAnsi="Times New Roman" w:cs="Times New Roman"/>
          <w:sz w:val="28"/>
          <w:lang w:val="vi-VN"/>
        </w:rPr>
        <w:t>:</w:t>
      </w:r>
      <w:r w:rsidR="008E778F" w:rsidRPr="008354C2">
        <w:rPr>
          <w:rFonts w:ascii="Times New Roman" w:eastAsia="Arial" w:hAnsi="Times New Roman" w:cs="Times New Roman"/>
          <w:sz w:val="28"/>
          <w:lang w:val="vi-VN"/>
        </w:rPr>
        <w:t xml:space="preserve"> </w:t>
      </w:r>
      <w:r w:rsidRPr="008354C2">
        <w:rPr>
          <w:rFonts w:ascii="Times New Roman" w:eastAsia="Arial" w:hAnsi="Times New Roman" w:cs="Times New Roman"/>
          <w:sz w:val="28"/>
          <w:lang w:val="vi-VN"/>
        </w:rPr>
        <w:t>Theo Luật bảo hiểm, b</w:t>
      </w:r>
      <w:r w:rsidR="0037570B" w:rsidRPr="008354C2">
        <w:rPr>
          <w:rFonts w:ascii="Times New Roman" w:eastAsia="Arial" w:hAnsi="Times New Roman" w:cs="Times New Roman"/>
          <w:sz w:val="28"/>
          <w:lang w:val="vi-VN"/>
        </w:rPr>
        <w:t>ảo hiểm sinh mạng cá nhân bao gồm: bảo hiểm nhân thọ, bảo hiểm y tế, bảo hiểm tai nạn, …; Bảo hiểm tài sản bao gồm: bảo hiểm tổn thất tài sản, bảo hiểm trách nhiệm, bảo hiểm tín dụng, bảo hiểm bảo lãnh,...; và các hoạt động kinh doanh liên quan đến bảo hiểm khác được cơ quan quản lý bảo hiểm thuộc Quốc vụ viện chấp thuận. Không công ty bảo hiểm nào được phép thực hiện đồng thời hoạt động kinh doanh bảo hiểm sinh mạng cá nhân và kinh doanh bảo hiểm tài sản. Nếu có sự chấp thuận của cơ quan quản lý bảo hiểm thuộc Quốc vụ viện, công ty bảo hiểm hoạt động kinh doanh bảo hiểm tài sản vẫn có thể hoạt động kinh doanh bảo hiểm y tế ngắn hạn và kinh doanh bảo hiểm tai nạn.</w:t>
      </w:r>
    </w:p>
    <w:p w:rsidR="003339A4" w:rsidRPr="008354C2" w:rsidRDefault="00D80F58" w:rsidP="003339A4">
      <w:pPr>
        <w:spacing w:before="120" w:after="120"/>
        <w:jc w:val="both"/>
        <w:rPr>
          <w:rFonts w:ascii="Times New Roman" w:eastAsia="Arial" w:hAnsi="Times New Roman" w:cs="Times New Roman"/>
          <w:sz w:val="28"/>
          <w:lang w:val="vi-VN"/>
        </w:rPr>
      </w:pPr>
      <w:r w:rsidRPr="008354C2">
        <w:rPr>
          <w:rFonts w:ascii="Times New Roman" w:eastAsia="Arial" w:hAnsi="Times New Roman" w:cs="Times New Roman"/>
          <w:b/>
          <w:sz w:val="28"/>
          <w:szCs w:val="28"/>
          <w:lang w:val="vi-VN"/>
        </w:rPr>
        <w:t xml:space="preserve">2.1.2. </w:t>
      </w:r>
      <w:r w:rsidR="0037570B" w:rsidRPr="008354C2">
        <w:rPr>
          <w:rFonts w:ascii="Times New Roman" w:eastAsia="Arial" w:hAnsi="Times New Roman" w:cs="Times New Roman"/>
          <w:b/>
          <w:sz w:val="28"/>
          <w:lang w:val="vi-VN"/>
        </w:rPr>
        <w:t>Nhật Bản</w:t>
      </w:r>
      <w:r w:rsidR="0037570B" w:rsidRPr="008354C2">
        <w:rPr>
          <w:rFonts w:ascii="Times New Roman" w:eastAsia="Arial" w:hAnsi="Times New Roman" w:cs="Times New Roman"/>
          <w:sz w:val="28"/>
          <w:lang w:val="vi-VN"/>
        </w:rPr>
        <w:t>: Một doanh nghiệp bảo hiểm sẽ không được cấp cả giấy phép kinh doanh bảo hiểm nhân thọ và giấy phép kinh doanh bảo hiểm phi nhân thọ.</w:t>
      </w:r>
      <w:r w:rsidR="00163912" w:rsidRPr="008354C2">
        <w:rPr>
          <w:rFonts w:ascii="Times New Roman" w:eastAsia="Arial" w:hAnsi="Times New Roman" w:cs="Times New Roman"/>
          <w:sz w:val="28"/>
          <w:lang w:val="vi-VN"/>
        </w:rPr>
        <w:t xml:space="preserve"> Cụ thể như sau:</w:t>
      </w:r>
    </w:p>
    <w:p w:rsidR="00163912" w:rsidRPr="008354C2" w:rsidRDefault="00163912" w:rsidP="00163912">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Theo Luật Kinh doanh bảo hiểm, Phần II – Công ty bảo hiểm, Chương I: Các nguyên tắc chung</w:t>
      </w:r>
    </w:p>
    <w:p w:rsidR="00163912" w:rsidRPr="008354C2" w:rsidRDefault="00163912" w:rsidP="0016391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3 Khoản 4: Phạm vi, nội dung hoạt động đối với bảo hiểm nhân thọ</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sz w:val="28"/>
          <w:szCs w:val="28"/>
          <w:lang w:val="vi-VN"/>
        </w:rPr>
        <w:t>“</w:t>
      </w:r>
      <w:r w:rsidRPr="008354C2">
        <w:rPr>
          <w:rFonts w:ascii="Times New Roman" w:eastAsia="Arial" w:hAnsi="Times New Roman" w:cs="Times New Roman"/>
          <w:i/>
          <w:sz w:val="28"/>
          <w:szCs w:val="28"/>
          <w:lang w:val="vi-VN"/>
        </w:rPr>
        <w:t>Giấy phép kinh doanh bảo hiểm nhân thọ là giấy phép kinh doanh các loại bảo hiểm được liệt kê tại điểm (i) hoặc các loại bảo hiểm được liệt kê tại điểm (ii) hoặc (iii) sau đây:</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 Loại bảo hiểm trong đó phí bảo hiểm thu được theo các hợp đồng để thanh toán khoản tiền bồi thường bảo hiểm cố định theo các yêu cầu bồi thường liên quan đến tính mạng của từng người (bao gồm tình trạng sức khỏe của cá nhân mà bác sĩ đã chẩn đoán là không thể kéo dài sự sống hơn một thời hạn nhất định; khoản này và khoản tiếp theo sẽ được áp dụng) (không bao gồm bảo hiểm chỉ liên quan đến trường hợp tử vong tại tiểu điểm (c) dưới đây).</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(ii) Loại bảo hiểm trong đó phí bảo hiểm thu được theo các hợp đồng để thanh toán một khoản tiền bồi thường bảo hiểm cố định theo yêu cầu bồi thường bảo hiểm vì các lý do sau đây hoặc để bồi thường thiệt hại cho một người vì các lý do sau:</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(a) Mắc bệnh;</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(b) Tình trạng bệnh do tai nạn hoặc bệnh tật gây ra;</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(c) Cá nhân tử vong trực tiếp do chấn thương;</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(d) Các trường hợp theo Pháp lệnh của Văn phòng Nội các tương tự như các trường hợp liệt kê tại các tiểu điểm (a) hoặc (b) (trừ trường hợp tử vong); và       </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(e) Điều trị (bao gồm cả Điều trị được quy định trong Pháp lệnh của Văn phòng Nội các là các hoạt động tương tự như Điều trị) liên quan đến những trường hợp được liệt kê tại điểm (a), (b), hoặc (d).</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(iii) Theo các loại bảo hiểm được liệt kê tại điểm (i) của khoản sau, hoạt động tái bảo hiểm liên quan đến các loại bảo hiểm được liệt kê ở hai điểm trước.”</w:t>
      </w:r>
    </w:p>
    <w:p w:rsidR="00163912" w:rsidRPr="008354C2" w:rsidRDefault="00163912" w:rsidP="0016391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3 Khoản 5: Phạm vi, nội dung hoạt động đối với bảo hiểm phi nhân thọ</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“(5) Giấy phép kinh doanh bảo hiểm phi nhân thọ là giấy phép kinh doanh các loại bảo hiểm được liệt kê tại điểm (i) hoặc các loại bảo hiểm được liệt kê tại điểm (ii) hoặc (iii).</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 Bảo hiểm thông qua phí bảo hiểm thu được theo các hợp đồng để bồi thường cho tổn thất do một tai nạn bất ngờ nhất định gây ra (không bao gồm các loại bảo hiểm được liệt kê trong các điểm sau đây).</w:t>
      </w:r>
    </w:p>
    <w:p w:rsidR="00163912" w:rsidRPr="008354C2" w:rsidRDefault="00163912" w:rsidP="0016391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(ii) Các loại bảo hiểm được liệt kê tại điểm (ii) của khoản trước.</w:t>
      </w:r>
    </w:p>
    <w:p w:rsidR="00163912" w:rsidRPr="008354C2" w:rsidRDefault="00163912" w:rsidP="00243370">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(iii) Trong số các loại bảo hiểm được liệt kê tại điểm (i) của khoản trước, bảo hiểm liên quan đến trường hợp tử vong của một người từ thời điểm người đó rời khỏi chỗ ở của mình để ra nước ngoài cho đến thời điểm người đó trở về chỗ ở của mình (sau đây được gọi là “Thời gian di chuyển ra nước ngoài”) hoặc trường hợp tử vong của cá nhân trực tiếp do bệnh tật mắc phải trong thời gian di chuyển ra nước ngoài.”</w:t>
      </w:r>
    </w:p>
    <w:p w:rsidR="0037570B" w:rsidRPr="008354C2" w:rsidRDefault="002272E9" w:rsidP="003339A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2.1.3. </w:t>
      </w:r>
      <w:r w:rsidR="0037570B" w:rsidRPr="008354C2">
        <w:rPr>
          <w:rFonts w:ascii="Times New Roman" w:eastAsia="Arial" w:hAnsi="Times New Roman" w:cs="Times New Roman"/>
          <w:b/>
          <w:sz w:val="28"/>
          <w:lang w:val="vi-VN"/>
        </w:rPr>
        <w:t>Đài Loan</w:t>
      </w:r>
      <w:r w:rsidRPr="008354C2">
        <w:rPr>
          <w:rFonts w:ascii="Times New Roman" w:eastAsia="Arial" w:hAnsi="Times New Roman" w:cs="Times New Roman"/>
          <w:b/>
          <w:sz w:val="28"/>
          <w:lang w:val="vi-VN"/>
        </w:rPr>
        <w:t xml:space="preserve">: </w:t>
      </w:r>
      <w:r w:rsidRPr="008354C2">
        <w:rPr>
          <w:rFonts w:ascii="Times New Roman" w:eastAsia="Arial" w:hAnsi="Times New Roman" w:cs="Times New Roman"/>
          <w:sz w:val="28"/>
          <w:lang w:val="vi-VN"/>
        </w:rPr>
        <w:t>Luật bảo hiểm</w:t>
      </w:r>
      <w:r w:rsidR="0037570B" w:rsidRPr="008354C2">
        <w:rPr>
          <w:rFonts w:ascii="Times New Roman" w:eastAsia="Arial" w:hAnsi="Times New Roman" w:cs="Times New Roman"/>
          <w:sz w:val="28"/>
          <w:lang w:val="vi-VN"/>
        </w:rPr>
        <w:t xml:space="preserve"> quy định các hạn chế này không áp dụng </w:t>
      </w:r>
      <w:r w:rsidR="00F93D26" w:rsidRPr="008354C2">
        <w:rPr>
          <w:rFonts w:ascii="Times New Roman" w:eastAsia="Arial" w:hAnsi="Times New Roman" w:cs="Times New Roman"/>
          <w:sz w:val="28"/>
          <w:lang w:val="vi-VN"/>
        </w:rPr>
        <w:t xml:space="preserve">trừ </w:t>
      </w:r>
      <w:r w:rsidR="0037570B" w:rsidRPr="008354C2">
        <w:rPr>
          <w:rFonts w:ascii="Times New Roman" w:eastAsia="Arial" w:hAnsi="Times New Roman" w:cs="Times New Roman"/>
          <w:sz w:val="28"/>
          <w:lang w:val="vi-VN"/>
        </w:rPr>
        <w:t>khi doanh nghiệp bảo hiểm phi nhân thọ được cơ quan có thẩm quyền phê duyệt bảo hiểm thương tích cá nhân hoặc bảo hiểm y tế.</w:t>
      </w:r>
    </w:p>
    <w:p w:rsidR="0037570B" w:rsidRPr="008354C2" w:rsidRDefault="00F93D26" w:rsidP="00B079A9">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2.2. </w:t>
      </w:r>
      <w:r w:rsidR="00D107F9" w:rsidRPr="008354C2">
        <w:rPr>
          <w:rFonts w:ascii="Times New Roman" w:eastAsia="Arial" w:hAnsi="Times New Roman" w:cs="Times New Roman"/>
          <w:b/>
          <w:sz w:val="28"/>
          <w:szCs w:val="28"/>
          <w:lang w:val="vi-VN"/>
        </w:rPr>
        <w:t>Nội dung hoạt động liên quan đến bảo hiểm vi mô</w:t>
      </w:r>
    </w:p>
    <w:p w:rsidR="00467090" w:rsidRPr="008354C2" w:rsidRDefault="006B0123" w:rsidP="00467090">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2.2.1. Tổng quan thị trường bảo hiểm vi mô</w:t>
      </w:r>
    </w:p>
    <w:p w:rsidR="00467090" w:rsidRPr="008354C2" w:rsidRDefault="006B0123" w:rsidP="00467090">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 xml:space="preserve">Bảo hiểm vi mô là bảo hiểm nhưng có đối tượng khách hàng đa dạng, số tiền bảo hiểm nhỏ, mức phí thấp và có kênh phân phối bảo hiểm phong phú. Bảo hiểm vi mô là phương thức để chuyển giao và hỗ trợ tài chính đối với người tham gia. Tại một số nước phát triển trong khu vực như Philippines, Ấn Độ, số lượng người tham gia bảo hiểm tăng đáng kể nhờ bảo hiểm vi mô. Theo cơ quan quản lý bảo hiểm tại Philippines, Indonesia, sau khi có chính sách phát triển bảo hiểm vi mô (quy định pháp lý, tuyên truyền), tốc độ tăng trưởng doanh thu bảo hiểm vi mô của các nước này là trên 20%. </w:t>
      </w:r>
    </w:p>
    <w:p w:rsidR="006B0123" w:rsidRPr="008354C2" w:rsidRDefault="006B0123" w:rsidP="00467090">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Thống kê của Ngân hàng thế giới về việc tham gia bảo hiểm vi mô tại một số nước đến ngày 16/3/2017 như sau:</w:t>
      </w:r>
    </w:p>
    <w:tbl>
      <w:tblPr>
        <w:tblStyle w:val="TableGrid2"/>
        <w:tblW w:w="0" w:type="auto"/>
        <w:tblInd w:w="675" w:type="dxa"/>
        <w:tblLook w:val="04A0"/>
      </w:tblPr>
      <w:tblGrid>
        <w:gridCol w:w="2405"/>
        <w:gridCol w:w="3081"/>
        <w:gridCol w:w="3081"/>
      </w:tblGrid>
      <w:tr w:rsidR="006B0123" w:rsidRPr="0064777E" w:rsidTr="00467090">
        <w:tc>
          <w:tcPr>
            <w:tcW w:w="2405" w:type="dxa"/>
            <w:vAlign w:val="center"/>
          </w:tcPr>
          <w:p w:rsidR="006B0123" w:rsidRPr="008354C2" w:rsidRDefault="006B0123" w:rsidP="00467090">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Tên nước</w:t>
            </w:r>
          </w:p>
        </w:tc>
        <w:tc>
          <w:tcPr>
            <w:tcW w:w="3081" w:type="dxa"/>
            <w:vAlign w:val="center"/>
          </w:tcPr>
          <w:p w:rsidR="006B0123" w:rsidRPr="008354C2" w:rsidRDefault="006B0123" w:rsidP="00467090">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Dân số</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Tỷ lệ tham gia bảo hiểm vi mô</w:t>
            </w:r>
          </w:p>
        </w:tc>
      </w:tr>
      <w:tr w:rsidR="006B0123" w:rsidRPr="008354C2" w:rsidTr="00433510">
        <w:tc>
          <w:tcPr>
            <w:tcW w:w="2405"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Thái Lan</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68 triệu người</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14%</w:t>
            </w:r>
          </w:p>
        </w:tc>
      </w:tr>
      <w:tr w:rsidR="006B0123" w:rsidRPr="008354C2" w:rsidTr="00433510">
        <w:tc>
          <w:tcPr>
            <w:tcW w:w="2405"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Philippines</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103 triệu người</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20%</w:t>
            </w:r>
          </w:p>
        </w:tc>
      </w:tr>
      <w:tr w:rsidR="006B0123" w:rsidRPr="008354C2" w:rsidTr="00433510">
        <w:tc>
          <w:tcPr>
            <w:tcW w:w="2405"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Indonesia</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263 triệu người</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0,56%</w:t>
            </w:r>
          </w:p>
        </w:tc>
      </w:tr>
      <w:tr w:rsidR="006B0123" w:rsidRPr="008354C2" w:rsidTr="00433510">
        <w:tc>
          <w:tcPr>
            <w:tcW w:w="2405"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Chi Lê</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18 triệu người</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7%</w:t>
            </w:r>
          </w:p>
        </w:tc>
      </w:tr>
      <w:tr w:rsidR="006B0123" w:rsidRPr="008354C2" w:rsidTr="00433510">
        <w:tc>
          <w:tcPr>
            <w:tcW w:w="2405"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Mexico</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130 triệu người</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15%</w:t>
            </w:r>
          </w:p>
        </w:tc>
      </w:tr>
      <w:tr w:rsidR="006B0123" w:rsidRPr="008354C2" w:rsidTr="00433510">
        <w:tc>
          <w:tcPr>
            <w:tcW w:w="2405"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Peru</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32 triệu người</w:t>
            </w:r>
          </w:p>
        </w:tc>
        <w:tc>
          <w:tcPr>
            <w:tcW w:w="3081" w:type="dxa"/>
          </w:tcPr>
          <w:p w:rsidR="006B0123" w:rsidRPr="008354C2" w:rsidRDefault="006B0123" w:rsidP="006B0123">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12%</w:t>
            </w:r>
          </w:p>
        </w:tc>
      </w:tr>
    </w:tbl>
    <w:p w:rsidR="00467090" w:rsidRPr="008354C2" w:rsidRDefault="006B0123" w:rsidP="00467090">
      <w:pPr>
        <w:spacing w:before="120" w:after="6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Về cơ bản, các nước phát triển bảo hiểm vi mô đều có quy định về bảo hiểm vi mô căn cứ theo Luật kinh doanh bảo hiểm. Ví dụ, Ấn Độ, Philippines, Indonesia, Nepal, Mông Cổ, Brazil v.v… đều đưa ra quy định về bảo hiểm vi mô với các quy định gồm: cấp phép đối với tổ chức không phải doanh nghiệp bảo hiểm, sản phẩm, kênh phân phối.</w:t>
      </w:r>
    </w:p>
    <w:p w:rsidR="00467090" w:rsidRPr="008354C2" w:rsidRDefault="006B0123" w:rsidP="00467090">
      <w:pPr>
        <w:spacing w:before="120" w:after="6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Cơ quan quản lý đều là cơ quan quản lý, giám sát bảo hiểm thương mại thực hiện. Đây cũng là khuyến cáo của IAIS.</w:t>
      </w:r>
    </w:p>
    <w:p w:rsidR="00467090" w:rsidRPr="008354C2" w:rsidRDefault="006B0123" w:rsidP="00467090">
      <w:pPr>
        <w:spacing w:before="120" w:after="6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Tùy theo đặc thù của mỗi nước mà việc phát triển bảo hiểm vi mô thực hiện theo các mô hình kinh doanh khác nhau.</w:t>
      </w:r>
    </w:p>
    <w:p w:rsidR="00467090" w:rsidRPr="008354C2" w:rsidRDefault="006B0123" w:rsidP="00467090">
      <w:pPr>
        <w:spacing w:before="120" w:after="6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Theo nghiên cứu về bảo hiểm vi mô tại 100 nước nghèo nhất thế giới do Tổ chức bảo hiểm vi mô thực hiện và tổng hợp báo cáo của MEFIN Network, ADB và thông tin do cơ quan quản lý các nước cung cấp, mô hình phát triển bảo hiểm vi mô như sau:</w:t>
      </w:r>
    </w:p>
    <w:p w:rsidR="00467090" w:rsidRPr="008354C2" w:rsidRDefault="00467090" w:rsidP="00607D9C">
      <w:pPr>
        <w:spacing w:before="120" w:after="6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w:t>
      </w:r>
      <w:r w:rsidR="006B0123" w:rsidRPr="008354C2">
        <w:rPr>
          <w:rFonts w:ascii="Times New Roman" w:eastAsia="Arial" w:hAnsi="Times New Roman" w:cs="Times New Roman"/>
          <w:b/>
          <w:i/>
          <w:sz w:val="28"/>
          <w:szCs w:val="28"/>
        </w:rPr>
        <w:t>Về tổ chức triển khai:</w:t>
      </w:r>
    </w:p>
    <w:p w:rsidR="006B0123" w:rsidRPr="008354C2" w:rsidRDefault="006B0123" w:rsidP="00467090">
      <w:pPr>
        <w:spacing w:before="60" w:after="6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Doanh nghiệp bảo hiểm, các tổ chức tương hỗ, hợp tác xã, tổ chức xã hội, liên kết giữa doanh nghiệp và tổ chức phi chính phủ (Pakistan). Thông tin về một số quốc gia trong khu vực như sau:</w:t>
      </w:r>
    </w:p>
    <w:tbl>
      <w:tblPr>
        <w:tblStyle w:val="TableGrid2"/>
        <w:tblW w:w="0" w:type="auto"/>
        <w:tblInd w:w="108" w:type="dxa"/>
        <w:tblLook w:val="04A0"/>
      </w:tblPr>
      <w:tblGrid>
        <w:gridCol w:w="709"/>
        <w:gridCol w:w="1559"/>
        <w:gridCol w:w="6804"/>
      </w:tblGrid>
      <w:tr w:rsidR="006B0123" w:rsidRPr="0064777E" w:rsidTr="0064777E">
        <w:tc>
          <w:tcPr>
            <w:tcW w:w="709" w:type="dxa"/>
          </w:tcPr>
          <w:p w:rsidR="006B0123" w:rsidRPr="008354C2" w:rsidRDefault="006B0123" w:rsidP="00467090">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Stt</w:t>
            </w:r>
          </w:p>
        </w:tc>
        <w:tc>
          <w:tcPr>
            <w:tcW w:w="1559" w:type="dxa"/>
          </w:tcPr>
          <w:p w:rsidR="006B0123" w:rsidRPr="008354C2" w:rsidRDefault="006B0123" w:rsidP="00467090">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Tên nước</w:t>
            </w:r>
          </w:p>
        </w:tc>
        <w:tc>
          <w:tcPr>
            <w:tcW w:w="6804" w:type="dxa"/>
          </w:tcPr>
          <w:p w:rsidR="006B0123" w:rsidRPr="008354C2" w:rsidRDefault="006B0123" w:rsidP="00467090">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Loại tổ chức cung cấp bảo hiểm vi mô</w:t>
            </w:r>
          </w:p>
        </w:tc>
      </w:tr>
      <w:tr w:rsidR="006B0123" w:rsidRPr="008354C2" w:rsidTr="0064777E">
        <w:tc>
          <w:tcPr>
            <w:tcW w:w="70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1</w:t>
            </w:r>
          </w:p>
        </w:tc>
        <w:tc>
          <w:tcPr>
            <w:tcW w:w="155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Ấn Độ</w:t>
            </w:r>
          </w:p>
        </w:tc>
        <w:tc>
          <w:tcPr>
            <w:tcW w:w="680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DNBH</w:t>
            </w:r>
          </w:p>
        </w:tc>
      </w:tr>
      <w:tr w:rsidR="006B0123" w:rsidRPr="0064777E" w:rsidTr="0064777E">
        <w:tc>
          <w:tcPr>
            <w:tcW w:w="70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2</w:t>
            </w:r>
          </w:p>
        </w:tc>
        <w:tc>
          <w:tcPr>
            <w:tcW w:w="155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Thái Lan</w:t>
            </w:r>
          </w:p>
        </w:tc>
        <w:tc>
          <w:tcPr>
            <w:tcW w:w="680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DNBH, Hội hỗ trợ mai táng, Quỹ phúc lợi xã hội, Taweesuk Funds, Hợp tác xã (tổ chức xã hội)</w:t>
            </w:r>
          </w:p>
        </w:tc>
      </w:tr>
      <w:tr w:rsidR="006B0123" w:rsidRPr="0064777E" w:rsidTr="0064777E">
        <w:tc>
          <w:tcPr>
            <w:tcW w:w="70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3</w:t>
            </w:r>
          </w:p>
        </w:tc>
        <w:tc>
          <w:tcPr>
            <w:tcW w:w="155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Philippines</w:t>
            </w:r>
          </w:p>
        </w:tc>
        <w:tc>
          <w:tcPr>
            <w:tcW w:w="680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Tổ chức tương hỗ, hợp tác xã, tổ chức xã hội</w:t>
            </w:r>
          </w:p>
        </w:tc>
      </w:tr>
      <w:tr w:rsidR="006B0123" w:rsidRPr="0064777E" w:rsidTr="0064777E">
        <w:tc>
          <w:tcPr>
            <w:tcW w:w="70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4</w:t>
            </w:r>
          </w:p>
        </w:tc>
        <w:tc>
          <w:tcPr>
            <w:tcW w:w="155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Nepal</w:t>
            </w:r>
          </w:p>
        </w:tc>
        <w:tc>
          <w:tcPr>
            <w:tcW w:w="680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DNBH, tổ chức tương hỗ, hợp tác xã</w:t>
            </w:r>
          </w:p>
        </w:tc>
      </w:tr>
      <w:tr w:rsidR="006B0123" w:rsidRPr="0064777E" w:rsidTr="0064777E">
        <w:tc>
          <w:tcPr>
            <w:tcW w:w="70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5</w:t>
            </w:r>
          </w:p>
        </w:tc>
        <w:tc>
          <w:tcPr>
            <w:tcW w:w="155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Indonesia</w:t>
            </w:r>
          </w:p>
        </w:tc>
        <w:tc>
          <w:tcPr>
            <w:tcW w:w="680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DNBH, tổ chức tương hỗ</w:t>
            </w:r>
          </w:p>
        </w:tc>
      </w:tr>
      <w:tr w:rsidR="006B0123" w:rsidRPr="0064777E" w:rsidTr="0064777E">
        <w:tc>
          <w:tcPr>
            <w:tcW w:w="70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6</w:t>
            </w:r>
          </w:p>
        </w:tc>
        <w:tc>
          <w:tcPr>
            <w:tcW w:w="155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Pakistan</w:t>
            </w:r>
          </w:p>
        </w:tc>
        <w:tc>
          <w:tcPr>
            <w:tcW w:w="680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DNBH, liên kết giữa doanh nghiệp và tổ chức phi chính phủ, tổ chức tương hỗ</w:t>
            </w:r>
          </w:p>
        </w:tc>
      </w:tr>
      <w:tr w:rsidR="006B0123" w:rsidRPr="0064777E" w:rsidTr="0064777E">
        <w:tc>
          <w:tcPr>
            <w:tcW w:w="70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7</w:t>
            </w:r>
          </w:p>
        </w:tc>
        <w:tc>
          <w:tcPr>
            <w:tcW w:w="155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Campuchia</w:t>
            </w:r>
          </w:p>
        </w:tc>
        <w:tc>
          <w:tcPr>
            <w:tcW w:w="680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DNBH, DNBH vi mô, tổ chức phi lợi nhuận (phi chính phủ)</w:t>
            </w:r>
          </w:p>
        </w:tc>
      </w:tr>
      <w:tr w:rsidR="006B0123" w:rsidRPr="0064777E" w:rsidTr="0064777E">
        <w:tc>
          <w:tcPr>
            <w:tcW w:w="70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8</w:t>
            </w:r>
          </w:p>
        </w:tc>
        <w:tc>
          <w:tcPr>
            <w:tcW w:w="1559"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Mông Cổ</w:t>
            </w:r>
          </w:p>
        </w:tc>
        <w:tc>
          <w:tcPr>
            <w:tcW w:w="680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DNBH, tổ chức tương hỗ</w:t>
            </w:r>
          </w:p>
        </w:tc>
      </w:tr>
    </w:tbl>
    <w:p w:rsidR="00607D9C" w:rsidRPr="008354C2" w:rsidRDefault="00607D9C" w:rsidP="005D2930">
      <w:pPr>
        <w:spacing w:before="240" w:after="60"/>
        <w:jc w:val="both"/>
        <w:rPr>
          <w:rFonts w:ascii="Times New Roman" w:eastAsia="Arial" w:hAnsi="Times New Roman" w:cs="Times New Roman"/>
          <w:b/>
          <w:i/>
          <w:sz w:val="28"/>
          <w:szCs w:val="28"/>
          <w:lang w:val="vi-VN"/>
        </w:rPr>
      </w:pPr>
      <w:r w:rsidRPr="008354C2">
        <w:rPr>
          <w:rFonts w:ascii="Times New Roman" w:eastAsia="Arial" w:hAnsi="Times New Roman" w:cs="Times New Roman"/>
          <w:sz w:val="28"/>
          <w:szCs w:val="28"/>
          <w:lang w:val="vi-VN"/>
        </w:rPr>
        <w:t xml:space="preserve">- </w:t>
      </w:r>
      <w:r w:rsidR="006B0123" w:rsidRPr="008354C2">
        <w:rPr>
          <w:rFonts w:ascii="Times New Roman" w:eastAsia="Arial" w:hAnsi="Times New Roman" w:cs="Times New Roman"/>
          <w:b/>
          <w:i/>
          <w:sz w:val="28"/>
          <w:szCs w:val="28"/>
          <w:lang w:val="vi-VN"/>
        </w:rPr>
        <w:t>Về kênh phân phối</w:t>
      </w:r>
    </w:p>
    <w:p w:rsidR="005D2930" w:rsidRPr="008354C2" w:rsidRDefault="006B0123" w:rsidP="005D2930">
      <w:pPr>
        <w:spacing w:before="60" w:after="60"/>
        <w:jc w:val="both"/>
        <w:rPr>
          <w:rFonts w:ascii="Times New Roman" w:eastAsia="Arial" w:hAnsi="Times New Roman" w:cs="Times New Roman"/>
          <w:b/>
          <w:i/>
          <w:sz w:val="28"/>
          <w:szCs w:val="28"/>
          <w:lang w:val="vi-VN"/>
        </w:rPr>
      </w:pPr>
      <w:r w:rsidRPr="008354C2">
        <w:rPr>
          <w:rFonts w:ascii="Times New Roman" w:eastAsia="Arial" w:hAnsi="Times New Roman" w:cs="Times New Roman"/>
          <w:sz w:val="28"/>
          <w:szCs w:val="28"/>
          <w:lang w:val="vi-VN"/>
        </w:rPr>
        <w:t>Kênh phân phối đa dạng, không truyền thống như bảo hiểm thương mại thông thường và tùy thuộc vào đặc điểm của từng nước. Hợp tác xã, Tổ chức tương hỗ, ngân hàng, tổ chức tài chính vi mô, cửa hàng cầm đồ (phổ biến tại Philippines, Indonesia, Thái Lan do mạng lưới cửa hàng này nhiều và rộng khắp toàn quốc), đại lý, bưu điện, trung tâm y tế.</w:t>
      </w:r>
    </w:p>
    <w:p w:rsidR="006B0123" w:rsidRPr="008354C2" w:rsidRDefault="006B0123" w:rsidP="005D2930">
      <w:pPr>
        <w:spacing w:before="60" w:after="60"/>
        <w:jc w:val="both"/>
        <w:rPr>
          <w:rFonts w:ascii="Times New Roman" w:eastAsia="Arial" w:hAnsi="Times New Roman" w:cs="Times New Roman"/>
          <w:b/>
          <w:i/>
          <w:sz w:val="28"/>
          <w:szCs w:val="28"/>
          <w:lang w:val="vi-VN"/>
        </w:rPr>
      </w:pPr>
      <w:r w:rsidRPr="008354C2">
        <w:rPr>
          <w:rFonts w:ascii="Times New Roman" w:eastAsia="Arial" w:hAnsi="Times New Roman" w:cs="Times New Roman"/>
          <w:sz w:val="28"/>
          <w:szCs w:val="28"/>
          <w:lang w:val="vi-VN"/>
        </w:rPr>
        <w:t>Cụ thể một số nước như sau:</w:t>
      </w:r>
    </w:p>
    <w:tbl>
      <w:tblPr>
        <w:tblStyle w:val="TableGrid2"/>
        <w:tblW w:w="0" w:type="auto"/>
        <w:tblInd w:w="108" w:type="dxa"/>
        <w:tblLook w:val="04A0"/>
      </w:tblPr>
      <w:tblGrid>
        <w:gridCol w:w="993"/>
        <w:gridCol w:w="1842"/>
        <w:gridCol w:w="5954"/>
      </w:tblGrid>
      <w:tr w:rsidR="006B0123" w:rsidRPr="008354C2" w:rsidTr="0064777E">
        <w:tc>
          <w:tcPr>
            <w:tcW w:w="993" w:type="dxa"/>
          </w:tcPr>
          <w:p w:rsidR="006B0123" w:rsidRPr="008354C2" w:rsidRDefault="006B0123" w:rsidP="005D2930">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Stt</w:t>
            </w:r>
          </w:p>
        </w:tc>
        <w:tc>
          <w:tcPr>
            <w:tcW w:w="1842" w:type="dxa"/>
          </w:tcPr>
          <w:p w:rsidR="006B0123" w:rsidRPr="008354C2" w:rsidRDefault="006B0123" w:rsidP="005D2930">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Tên nước</w:t>
            </w:r>
          </w:p>
        </w:tc>
        <w:tc>
          <w:tcPr>
            <w:tcW w:w="5954" w:type="dxa"/>
          </w:tcPr>
          <w:p w:rsidR="006B0123" w:rsidRPr="008354C2" w:rsidRDefault="006B0123" w:rsidP="005D2930">
            <w:pPr>
              <w:spacing w:before="60" w:after="60"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Loại kênh phân phối</w:t>
            </w:r>
          </w:p>
        </w:tc>
      </w:tr>
      <w:tr w:rsidR="006B0123" w:rsidRPr="0064777E" w:rsidTr="0064777E">
        <w:tc>
          <w:tcPr>
            <w:tcW w:w="993"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1</w:t>
            </w:r>
          </w:p>
        </w:tc>
        <w:tc>
          <w:tcPr>
            <w:tcW w:w="1842"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Ấn Độ</w:t>
            </w:r>
          </w:p>
        </w:tc>
        <w:tc>
          <w:tcPr>
            <w:tcW w:w="595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Ngân hàng dự trữ, Ngân hàng hợp tác xã, Hợp tác xã, đại lý</w:t>
            </w:r>
          </w:p>
        </w:tc>
      </w:tr>
      <w:tr w:rsidR="006B0123" w:rsidRPr="0064777E" w:rsidTr="0064777E">
        <w:tc>
          <w:tcPr>
            <w:tcW w:w="993"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2</w:t>
            </w:r>
          </w:p>
        </w:tc>
        <w:tc>
          <w:tcPr>
            <w:tcW w:w="1842"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Thái Lan</w:t>
            </w:r>
          </w:p>
        </w:tc>
        <w:tc>
          <w:tcPr>
            <w:tcW w:w="595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Ngân hàng nông nghiệp, hợp tác xã nông nghiệp, mô hình đối tác, đại lý bảo hiểm, siêu thị, cửa hàng cầm đồ, hiệp hội tín dụng</w:t>
            </w:r>
          </w:p>
        </w:tc>
      </w:tr>
      <w:tr w:rsidR="006B0123" w:rsidRPr="0064777E" w:rsidTr="0064777E">
        <w:tc>
          <w:tcPr>
            <w:tcW w:w="993"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3</w:t>
            </w:r>
          </w:p>
        </w:tc>
        <w:tc>
          <w:tcPr>
            <w:tcW w:w="1842"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Philippines</w:t>
            </w:r>
          </w:p>
        </w:tc>
        <w:tc>
          <w:tcPr>
            <w:tcW w:w="595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Hợp tác xã, Tổ chức tương hỗ, ngân hàng, tổ chức tài chính vi mô, cửa hàng cầm đồ, đại lý bảo hiểm, trung tâm y tế, </w:t>
            </w:r>
          </w:p>
        </w:tc>
      </w:tr>
      <w:tr w:rsidR="006B0123" w:rsidRPr="0064777E" w:rsidTr="0064777E">
        <w:tc>
          <w:tcPr>
            <w:tcW w:w="993"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4</w:t>
            </w:r>
          </w:p>
        </w:tc>
        <w:tc>
          <w:tcPr>
            <w:tcW w:w="1842"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Indonesia</w:t>
            </w:r>
          </w:p>
        </w:tc>
        <w:tc>
          <w:tcPr>
            <w:tcW w:w="595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ngân hàng, tổ chức tài chính vi mô, cửa hàng cầm đồ, đại lý bảo hiểm, bưu điện, đại lý bảo hiểm</w:t>
            </w:r>
          </w:p>
        </w:tc>
      </w:tr>
      <w:tr w:rsidR="006B0123" w:rsidRPr="0064777E" w:rsidTr="0064777E">
        <w:tc>
          <w:tcPr>
            <w:tcW w:w="993"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5</w:t>
            </w:r>
          </w:p>
        </w:tc>
        <w:tc>
          <w:tcPr>
            <w:tcW w:w="1842"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Nepal</w:t>
            </w:r>
          </w:p>
        </w:tc>
        <w:tc>
          <w:tcPr>
            <w:tcW w:w="595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Hợp tác xã, Tổ chức tương hỗ, ngân hàng, tổ chức tài chính vi mô, đại lý bảo hiểm.</w:t>
            </w:r>
          </w:p>
        </w:tc>
      </w:tr>
      <w:tr w:rsidR="006B0123" w:rsidRPr="0064777E" w:rsidTr="0064777E">
        <w:tc>
          <w:tcPr>
            <w:tcW w:w="993"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6</w:t>
            </w:r>
          </w:p>
        </w:tc>
        <w:tc>
          <w:tcPr>
            <w:tcW w:w="1842"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Campuchia</w:t>
            </w:r>
          </w:p>
        </w:tc>
        <w:tc>
          <w:tcPr>
            <w:tcW w:w="5954" w:type="dxa"/>
          </w:tcPr>
          <w:p w:rsidR="006B0123" w:rsidRPr="008354C2" w:rsidRDefault="006B0123" w:rsidP="006B0123">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Tổ chức tài chính vi mô, đại lý, tổ chức phi lợi nhuận</w:t>
            </w:r>
          </w:p>
        </w:tc>
      </w:tr>
    </w:tbl>
    <w:p w:rsidR="005D2930" w:rsidRPr="008354C2" w:rsidRDefault="005D2930" w:rsidP="005D2930">
      <w:pPr>
        <w:spacing w:before="240" w:after="60"/>
        <w:jc w:val="both"/>
        <w:rPr>
          <w:rFonts w:ascii="Times New Roman" w:eastAsia="Arial" w:hAnsi="Times New Roman" w:cs="Times New Roman"/>
          <w:b/>
          <w:i/>
          <w:sz w:val="28"/>
          <w:szCs w:val="28"/>
          <w:lang w:val="vi-VN"/>
        </w:rPr>
      </w:pPr>
      <w:r w:rsidRPr="008354C2">
        <w:rPr>
          <w:rFonts w:ascii="Times New Roman" w:eastAsia="Arial" w:hAnsi="Times New Roman" w:cs="Times New Roman"/>
          <w:sz w:val="28"/>
          <w:szCs w:val="28"/>
          <w:lang w:val="vi-VN"/>
        </w:rPr>
        <w:t xml:space="preserve">- </w:t>
      </w:r>
      <w:r w:rsidR="006B0123" w:rsidRPr="008354C2">
        <w:rPr>
          <w:rFonts w:ascii="Times New Roman" w:eastAsia="Arial" w:hAnsi="Times New Roman" w:cs="Times New Roman"/>
          <w:b/>
          <w:i/>
          <w:sz w:val="28"/>
          <w:szCs w:val="28"/>
          <w:lang w:val="vi-VN"/>
        </w:rPr>
        <w:t>Về sản phẩm</w:t>
      </w:r>
    </w:p>
    <w:p w:rsidR="006B0123" w:rsidRPr="008354C2" w:rsidRDefault="006B0123" w:rsidP="005D2930">
      <w:pPr>
        <w:spacing w:after="60"/>
        <w:jc w:val="both"/>
        <w:rPr>
          <w:rFonts w:ascii="Times New Roman" w:eastAsia="Arial" w:hAnsi="Times New Roman" w:cs="Times New Roman"/>
          <w:b/>
          <w:i/>
          <w:sz w:val="28"/>
          <w:szCs w:val="28"/>
          <w:lang w:val="vi-VN"/>
        </w:rPr>
      </w:pPr>
      <w:r w:rsidRPr="008354C2">
        <w:rPr>
          <w:rFonts w:ascii="Times New Roman" w:eastAsia="Arial" w:hAnsi="Times New Roman" w:cs="Times New Roman"/>
          <w:sz w:val="28"/>
          <w:szCs w:val="28"/>
          <w:lang w:val="vi-VN"/>
        </w:rPr>
        <w:t xml:space="preserve"> Các sản phẩm đơn giản, phí thấp, thẩm định đơn giản hoặc không qua thẩm định. Thậm chí một số nước đưa ra mẫu sản phẩm chuẩn để các tổ chức bảo hiểm vi mô cung cấp (Philippines, Nepal).</w:t>
      </w:r>
    </w:p>
    <w:p w:rsidR="006B0123" w:rsidRPr="008354C2" w:rsidRDefault="005D2930" w:rsidP="006B0123">
      <w:pPr>
        <w:spacing w:before="60" w:after="6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w:t>
      </w:r>
      <w:r w:rsidR="006B0123" w:rsidRPr="008354C2">
        <w:rPr>
          <w:rFonts w:ascii="Times New Roman" w:eastAsia="Arial" w:hAnsi="Times New Roman" w:cs="Times New Roman"/>
          <w:sz w:val="28"/>
          <w:szCs w:val="28"/>
          <w:lang w:val="vi-VN"/>
        </w:rPr>
        <w:t>Bảo hiểm tử kỳ: chi trả cho trường hợp chết và thương tật toàn bộ vĩnh viễn. Tại một số nước có sản phẩm mẫu thì sản phẩm này chỉ chi trả cho các rủi ro thực sự lớn như động đất, lụt, bão. Phổ biến loại bảo hiểm tử kỳ là bảo hiểm cho người đi vay.</w:t>
      </w:r>
    </w:p>
    <w:p w:rsidR="006B0123" w:rsidRPr="008354C2" w:rsidRDefault="005D2930" w:rsidP="006B0123">
      <w:pPr>
        <w:spacing w:before="60" w:after="6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w:t>
      </w:r>
      <w:r w:rsidR="006B0123" w:rsidRPr="008354C2">
        <w:rPr>
          <w:rFonts w:ascii="Times New Roman" w:eastAsia="Arial" w:hAnsi="Times New Roman" w:cs="Times New Roman"/>
          <w:sz w:val="28"/>
          <w:szCs w:val="28"/>
          <w:lang w:val="vi-VN"/>
        </w:rPr>
        <w:t>Bảo hiểm sức khỏe: Chi trả số tiền nhất định khi người được bảo hiểm phải nằm viện, phẫu thuật.</w:t>
      </w:r>
    </w:p>
    <w:p w:rsidR="006B0123" w:rsidRPr="008354C2" w:rsidRDefault="005D2930" w:rsidP="006B0123">
      <w:pPr>
        <w:spacing w:before="60" w:after="6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w:t>
      </w:r>
      <w:r w:rsidR="006B0123" w:rsidRPr="008354C2">
        <w:rPr>
          <w:rFonts w:ascii="Times New Roman" w:eastAsia="Arial" w:hAnsi="Times New Roman" w:cs="Times New Roman"/>
          <w:sz w:val="28"/>
          <w:szCs w:val="28"/>
          <w:lang w:val="vi-VN"/>
        </w:rPr>
        <w:t>Bảo hiểm tài sản: chi trả số tiền cố định cho thiệt hại tài sản do các tổn thất lớn như núi lửa, lụt, bão, động đất.</w:t>
      </w:r>
    </w:p>
    <w:p w:rsidR="005D2930" w:rsidRPr="008354C2" w:rsidRDefault="005D2930" w:rsidP="005D2930">
      <w:pPr>
        <w:spacing w:before="60" w:after="6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w:t>
      </w:r>
      <w:r w:rsidR="006B0123" w:rsidRPr="008354C2">
        <w:rPr>
          <w:rFonts w:ascii="Times New Roman" w:eastAsia="Arial" w:hAnsi="Times New Roman" w:cs="Times New Roman"/>
          <w:sz w:val="28"/>
          <w:szCs w:val="28"/>
          <w:lang w:val="vi-VN"/>
        </w:rPr>
        <w:t>Bảo hiểm hưu trí.</w:t>
      </w:r>
    </w:p>
    <w:p w:rsidR="005D2930" w:rsidRPr="008354C2" w:rsidRDefault="005D2930" w:rsidP="005D2930">
      <w:pPr>
        <w:spacing w:before="60" w:after="60"/>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2.2.2. Quy định pháp lý liên quan đến bảo hiểm vi mô</w:t>
      </w:r>
    </w:p>
    <w:p w:rsidR="00AB51DC" w:rsidRPr="008354C2" w:rsidRDefault="005D2930" w:rsidP="00AB51DC">
      <w:pPr>
        <w:spacing w:before="6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Các nước đều có quy định riêng cho bảo hiểm vi mô hướng đến các chuẩn mực về bảo hiểm thương mại thông thường, trong đó nới lỏng các quy định về điều kiện triển khai, kênh phân phối. </w:t>
      </w:r>
      <w:r w:rsidR="00AB51DC" w:rsidRPr="008354C2">
        <w:rPr>
          <w:rFonts w:ascii="Times New Roman" w:eastAsia="Arial" w:hAnsi="Times New Roman" w:cs="Times New Roman"/>
          <w:sz w:val="28"/>
          <w:szCs w:val="28"/>
          <w:lang w:val="vi-VN"/>
        </w:rPr>
        <w:t>Các quy định cụ thể như sau:</w:t>
      </w:r>
    </w:p>
    <w:p w:rsidR="00AB51DC" w:rsidRPr="008354C2" w:rsidRDefault="00AB51DC" w:rsidP="00AB51DC">
      <w:pPr>
        <w:spacing w:before="6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 xml:space="preserve">2.2.2.1. </w:t>
      </w:r>
      <w:r w:rsidR="005D2930" w:rsidRPr="008354C2">
        <w:rPr>
          <w:rFonts w:ascii="Times New Roman" w:eastAsia="Arial" w:hAnsi="Times New Roman" w:cs="Times New Roman"/>
          <w:b/>
          <w:sz w:val="28"/>
          <w:szCs w:val="28"/>
          <w:lang w:val="vi-VN"/>
        </w:rPr>
        <w:t>Quy định về vốn</w:t>
      </w:r>
      <w:r w:rsidR="005D2930" w:rsidRPr="008354C2">
        <w:rPr>
          <w:rFonts w:ascii="Times New Roman" w:eastAsia="Arial" w:hAnsi="Times New Roman" w:cs="Times New Roman"/>
          <w:sz w:val="28"/>
          <w:szCs w:val="28"/>
          <w:lang w:val="vi-VN"/>
        </w:rPr>
        <w:t>: Theo quy định của Philipines, vốn pháp định cho tổ chức quyền lợi tương hỗ bảo hiểm vi mô là 122.000 USD (tương đương 2,5 tỷ đồng), Campuchia là 600.000.000Reil (tương đương 3 tỷ đồng). Vốn chủ sở hữu hiện tại của CFRC là 2,2 tỷ đồng. Vốn chủ sở hữu của dự án quỹ tương trợ (TYM) là 10 tỷ đồng.</w:t>
      </w:r>
    </w:p>
    <w:p w:rsidR="00AB51DC" w:rsidRPr="008354C2" w:rsidRDefault="00AB51DC" w:rsidP="00AB51DC">
      <w:pPr>
        <w:spacing w:before="6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 xml:space="preserve">2.2.2.2. </w:t>
      </w:r>
      <w:r w:rsidR="005D2930" w:rsidRPr="008354C2">
        <w:rPr>
          <w:rFonts w:ascii="Times New Roman" w:eastAsia="Arial" w:hAnsi="Times New Roman" w:cs="Times New Roman"/>
          <w:b/>
          <w:sz w:val="28"/>
          <w:szCs w:val="28"/>
          <w:lang w:val="vi-VN"/>
        </w:rPr>
        <w:t>Quy định về ký quỹ</w:t>
      </w:r>
      <w:r w:rsidR="005D2930" w:rsidRPr="008354C2">
        <w:rPr>
          <w:rFonts w:ascii="Times New Roman" w:eastAsia="Arial" w:hAnsi="Times New Roman" w:cs="Times New Roman"/>
          <w:sz w:val="28"/>
          <w:szCs w:val="28"/>
          <w:lang w:val="vi-VN"/>
        </w:rPr>
        <w:t>:</w:t>
      </w:r>
      <w:r w:rsidR="005D2930" w:rsidRPr="008354C2">
        <w:rPr>
          <w:rFonts w:ascii="Times New Roman" w:eastAsia="Arial" w:hAnsi="Times New Roman" w:cs="Times New Roman"/>
          <w:i/>
          <w:sz w:val="28"/>
          <w:szCs w:val="28"/>
          <w:lang w:val="vi-VN"/>
        </w:rPr>
        <w:t xml:space="preserve"> </w:t>
      </w:r>
      <w:r w:rsidR="005D2930" w:rsidRPr="008354C2">
        <w:rPr>
          <w:rFonts w:ascii="Times New Roman" w:eastAsia="Arial" w:hAnsi="Times New Roman" w:cs="Times New Roman"/>
          <w:sz w:val="28"/>
          <w:szCs w:val="28"/>
          <w:lang w:val="vi-VN"/>
        </w:rPr>
        <w:t>tại Campuchia, quy định ký quỹ bằng 1/3 vốn pháp định</w:t>
      </w:r>
    </w:p>
    <w:p w:rsidR="005D2930" w:rsidRPr="008354C2" w:rsidRDefault="00AB51DC" w:rsidP="00AB51DC">
      <w:pPr>
        <w:spacing w:before="6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 xml:space="preserve">2.2.2.3. </w:t>
      </w:r>
      <w:r w:rsidR="005D2930" w:rsidRPr="008354C2">
        <w:rPr>
          <w:rFonts w:ascii="Times New Roman" w:eastAsia="Arial" w:hAnsi="Times New Roman" w:cs="Times New Roman"/>
          <w:b/>
          <w:sz w:val="28"/>
          <w:szCs w:val="28"/>
          <w:lang w:val="vi-VN"/>
        </w:rPr>
        <w:t>Quy định về khả năng thanh toán</w:t>
      </w:r>
      <w:r w:rsidR="005D2930" w:rsidRPr="008354C2">
        <w:rPr>
          <w:rFonts w:ascii="Times New Roman" w:eastAsia="Arial" w:hAnsi="Times New Roman" w:cs="Times New Roman"/>
          <w:sz w:val="28"/>
          <w:szCs w:val="28"/>
          <w:lang w:val="vi-VN"/>
        </w:rPr>
        <w:t>:</w:t>
      </w:r>
      <w:r w:rsidR="005D2930" w:rsidRPr="008354C2">
        <w:rPr>
          <w:rFonts w:ascii="Times New Roman" w:eastAsia="Arial" w:hAnsi="Times New Roman" w:cs="Times New Roman"/>
          <w:i/>
          <w:sz w:val="28"/>
          <w:szCs w:val="28"/>
          <w:lang w:val="vi-VN"/>
        </w:rPr>
        <w:t xml:space="preserve"> </w:t>
      </w:r>
      <w:r w:rsidR="005D2930" w:rsidRPr="008354C2">
        <w:rPr>
          <w:rFonts w:ascii="Times New Roman" w:eastAsia="Arial" w:hAnsi="Times New Roman" w:cs="Times New Roman"/>
          <w:sz w:val="28"/>
          <w:szCs w:val="28"/>
          <w:lang w:val="vi-VN"/>
        </w:rPr>
        <w:t>100.000USD (Campuchia),</w:t>
      </w:r>
      <w:r w:rsidR="005D2930" w:rsidRPr="008354C2">
        <w:rPr>
          <w:rFonts w:ascii="Times New Roman" w:eastAsia="Arial" w:hAnsi="Times New Roman" w:cs="Times New Roman"/>
          <w:i/>
          <w:sz w:val="28"/>
          <w:szCs w:val="28"/>
          <w:lang w:val="vi-VN"/>
        </w:rPr>
        <w:t xml:space="preserve"> </w:t>
      </w:r>
      <w:r w:rsidR="005D2930" w:rsidRPr="008354C2">
        <w:rPr>
          <w:rFonts w:ascii="Times New Roman" w:eastAsia="Arial" w:hAnsi="Times New Roman" w:cs="Times New Roman"/>
          <w:sz w:val="28"/>
          <w:szCs w:val="28"/>
          <w:lang w:val="vi-VN"/>
        </w:rPr>
        <w:t>Philippines cho phép tính khả năng thanh toán thấp hơn doanh nghiệp bảo hiểm. Tuy nhiên, Philippines cũng đã yêu cầu các tổ chức triển khai bảo hiểm vi mô bắt đầu thực hiện tính toán khả năng thanh toán theo vốn trên cơ sở rủi ro, tương tự như các doanh nghiệp bảo hiểm.</w:t>
      </w:r>
    </w:p>
    <w:p w:rsidR="00AB51DC" w:rsidRPr="008354C2" w:rsidRDefault="00AB51DC" w:rsidP="00AB51DC">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 xml:space="preserve">2.2.2.4. </w:t>
      </w:r>
      <w:r w:rsidR="005D2930" w:rsidRPr="008354C2">
        <w:rPr>
          <w:rFonts w:ascii="Times New Roman" w:eastAsia="Arial" w:hAnsi="Times New Roman" w:cs="Times New Roman"/>
          <w:b/>
          <w:sz w:val="28"/>
          <w:szCs w:val="28"/>
          <w:lang w:val="vi-VN"/>
        </w:rPr>
        <w:t>Quy định về sản phẩm bảo hiểm vi mô:</w:t>
      </w:r>
      <w:r w:rsidR="005D2930" w:rsidRPr="008354C2">
        <w:rPr>
          <w:rFonts w:ascii="Times New Roman" w:eastAsia="Arial" w:hAnsi="Times New Roman" w:cs="Times New Roman"/>
          <w:sz w:val="28"/>
          <w:szCs w:val="28"/>
          <w:lang w:val="vi-VN"/>
        </w:rPr>
        <w:t xml:space="preserve"> </w:t>
      </w:r>
    </w:p>
    <w:p w:rsidR="00AB51DC" w:rsidRPr="008354C2" w:rsidRDefault="005D2930" w:rsidP="00AB51DC">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Các nước đa phần đều đưa ra quy định về sản phẩm bảo hiểm, bao gồm các tiêu chí định tính và định lượng.</w:t>
      </w:r>
    </w:p>
    <w:tbl>
      <w:tblPr>
        <w:tblStyle w:val="TableGrid3"/>
        <w:tblW w:w="0" w:type="auto"/>
        <w:tblInd w:w="250" w:type="dxa"/>
        <w:tblLook w:val="04A0"/>
      </w:tblPr>
      <w:tblGrid>
        <w:gridCol w:w="1492"/>
        <w:gridCol w:w="7438"/>
      </w:tblGrid>
      <w:tr w:rsidR="005D2930" w:rsidRPr="008354C2" w:rsidTr="00433510">
        <w:tc>
          <w:tcPr>
            <w:tcW w:w="1492" w:type="dxa"/>
          </w:tcPr>
          <w:p w:rsidR="005D2930" w:rsidRPr="008354C2" w:rsidRDefault="00AB51DC" w:rsidP="00AB51DC">
            <w:pPr>
              <w:spacing w:before="60" w:after="60" w:line="276" w:lineRule="auto"/>
              <w:jc w:val="center"/>
              <w:rPr>
                <w:rFonts w:ascii="Times New Roman" w:eastAsia="Arial" w:hAnsi="Times New Roman" w:cs="Times New Roman"/>
                <w:b/>
                <w:sz w:val="28"/>
                <w:szCs w:val="28"/>
                <w:lang w:val="en-US"/>
              </w:rPr>
            </w:pPr>
            <w:r w:rsidRPr="008354C2">
              <w:rPr>
                <w:rFonts w:ascii="Times New Roman" w:eastAsia="Arial" w:hAnsi="Times New Roman" w:cs="Times New Roman"/>
                <w:b/>
                <w:sz w:val="28"/>
                <w:szCs w:val="28"/>
                <w:lang w:val="en-US"/>
              </w:rPr>
              <w:t>Quốc gia</w:t>
            </w:r>
          </w:p>
        </w:tc>
        <w:tc>
          <w:tcPr>
            <w:tcW w:w="7438" w:type="dxa"/>
          </w:tcPr>
          <w:p w:rsidR="005D2930" w:rsidRPr="008354C2" w:rsidRDefault="00AB51DC" w:rsidP="00AB51DC">
            <w:pPr>
              <w:spacing w:before="60" w:after="60" w:line="276" w:lineRule="auto"/>
              <w:jc w:val="center"/>
              <w:rPr>
                <w:rFonts w:ascii="Times New Roman" w:eastAsia="Arial" w:hAnsi="Times New Roman" w:cs="Times New Roman"/>
                <w:b/>
                <w:sz w:val="28"/>
                <w:szCs w:val="28"/>
                <w:lang w:val="en-US"/>
              </w:rPr>
            </w:pPr>
            <w:r w:rsidRPr="008354C2">
              <w:rPr>
                <w:rFonts w:ascii="Times New Roman" w:eastAsia="Arial" w:hAnsi="Times New Roman" w:cs="Times New Roman"/>
                <w:b/>
                <w:sz w:val="28"/>
                <w:szCs w:val="28"/>
                <w:lang w:val="en-US"/>
              </w:rPr>
              <w:t>Quy định</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Brazil</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Sản phẩm bảo hiểm có số tiền bảo hiểm tối đa là 50 BRL mỗi ngày đối với quyền lợi nằm viện; 24.000 BRL hoặc 7.500USD đối với quyền lợi tử vong 60.000 BRL hoặc 18.700 USD đối với bảo hiểm tài sản.</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Philippines</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Theo quy định tại tháng 7/2013, phí bảo hiểm không vượt quá 35 PHP hoặc 0,81USD và số tiền bảo hiểm tối đa là 466.000 PHP hoặc 11.000USD. </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Peru</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Bảo hiểm vi mô nhằm đáp ứng nhu cầu bảo vệ đối với người thu nhập thấp hoặc doanh nghiệp nhỏ. </w:t>
            </w:r>
          </w:p>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Phí bảo hiểm hàng tháng không vượt quá 2% thu nhập hàng tháng bình quân (tại 2016 là 253USD), với phí bảo hiểm hàng tháng khoảng 5USD.</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Ghana</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Bảo hiểm vi mô được thiết kế và phân phối cho người thu nhập thấp. Phí bảo hiểm theo hợp đồng bảo hiểm phải phù hợp với người thu nhập thấp. Hợp đồng bảo hiểm vi mô phải được thiết kế và phân phối phù hợp với người thu nhập thấp.</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Đài Loan</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Bảo hiểm vi mô là các sản phẩm bảo hiểm cung cấp quyền lợi cơ bản cho những người có khó khăn về kinh tế hoặc trường hợp đặc biệt. Thuật ngữ khó khăn về kinh tế bao gồm những người có thu nhập hàng năm ít hơn 350.000 tệ, hộ gia đình có thu nhập ít hơn 700.000 tệ, người là thành viên của Hội ngư nghiệp, thành viên gia đình khó khăn  theo quy định tại Luật hỗ trợ gia đình khó khăn, người tàn tật và theo quy định pháp luật khác.</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Campuchia</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Bảo hiểm vi mô bao gồm các hợp đồng bảo hiểm dành cho người thu nhập thấp do Tổ chức bảo hiểm y tế dựa trên cộng đồng (CBHI) và tổ chức bảo hiểm vi mô cung cấp.</w:t>
            </w:r>
          </w:p>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Giới hạn quyền lợi bảo hiểm theo 1 hợp đồng hoặc số tiền bảo hiểm tối đa là 20.000.000 Reil (khoảng 100 triệu đồng).</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Trung Quốc</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Chưa có quy định nhưng cho phép 1 số doanh nghiệp triển khai bảo hiểm vi mô với số phí không quá 50 tệ (8 USD) và số tiền bảo hiểm không quá 50.000 tệ (khoảng 8.000USD)</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Thái Lan</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STBH tối đa bảo hiểm nhân thọ là 3.300USD, phí tối đa là 17USD/tháng; STBH cho bảo hiểm tài sản là từ 1.600-16.000USD, phí bảo hiểm tối đa 17USD.</w:t>
            </w:r>
          </w:p>
        </w:tc>
      </w:tr>
      <w:tr w:rsidR="005D2930" w:rsidRPr="0064777E" w:rsidTr="00433510">
        <w:tc>
          <w:tcPr>
            <w:tcW w:w="1492"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Ấn Độ</w:t>
            </w:r>
          </w:p>
        </w:tc>
        <w:tc>
          <w:tcPr>
            <w:tcW w:w="7438" w:type="dxa"/>
          </w:tcPr>
          <w:p w:rsidR="005D2930" w:rsidRPr="008354C2" w:rsidRDefault="005D2930" w:rsidP="00AB51DC">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STBH tối đa đối với bảo hiểm tử kỳ không hoàn phí , bảo hiểm tai nạn là 50.000Rs, bảo hiểm hỗn hợp, bảo hiểm sức khỏe là 30.000Rs.; bảo hiểm vật nuôi, mùa màng, công cụ lao động không quá 30.000Rs/1 tài sản. (STBH tối đa bảo hiểm nhân thọ là gần 3.100USD, bảo hiểm phi nhân thọ là 1.560 USD, bảo hiểm sức khỏe là 3.900 USD)</w:t>
            </w:r>
          </w:p>
        </w:tc>
      </w:tr>
    </w:tbl>
    <w:p w:rsidR="005D2930" w:rsidRPr="008354C2" w:rsidRDefault="005D2930" w:rsidP="00B40B74">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Quy định sản phẩm bảo hiểm theo nghiệp vụ bảo hiểm: Brazil, Peru, Đài Loan, Philippines, Trung Quốc, Nepal</w:t>
      </w:r>
    </w:p>
    <w:p w:rsidR="005D2930" w:rsidRPr="008354C2" w:rsidRDefault="005D2930" w:rsidP="00B40B74">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Về thời hạn bảo hiểm: Brazil, Philippines, Đài Loan đều  quy định sản phẩm bảo hiểm vi mô có thời hạn 1 năm (trừ sản phẩm hưu trí).</w:t>
      </w:r>
    </w:p>
    <w:p w:rsidR="005D2930" w:rsidRPr="008354C2" w:rsidRDefault="005D2930" w:rsidP="00B40B74">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Về phê chuẩn sản phẩm: Đa phần các nước vẫn yêu cầu phê chuẩn sản phẩm vi mô, nhất là các sản phẩm bảo hiểm vi mô nhân thọ (Phillipines, Ấn Độ, Đài Loan, Nepal)</w:t>
      </w:r>
    </w:p>
    <w:p w:rsidR="00B40B74" w:rsidRPr="008354C2" w:rsidRDefault="00B40B74" w:rsidP="00B40B7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2.2.2.5. </w:t>
      </w:r>
      <w:r w:rsidR="005D2930" w:rsidRPr="008354C2">
        <w:rPr>
          <w:rFonts w:ascii="Times New Roman" w:eastAsia="Arial" w:hAnsi="Times New Roman" w:cs="Times New Roman"/>
          <w:b/>
          <w:sz w:val="28"/>
          <w:szCs w:val="28"/>
          <w:lang w:val="vi-VN"/>
        </w:rPr>
        <w:t>Quy định về kênh phân phối:</w:t>
      </w:r>
    </w:p>
    <w:p w:rsidR="005D2930" w:rsidRPr="008354C2" w:rsidRDefault="00B40B74" w:rsidP="00B40B74">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w:t>
      </w:r>
      <w:r w:rsidR="005D2930" w:rsidRPr="008354C2">
        <w:rPr>
          <w:rFonts w:ascii="Times New Roman" w:eastAsia="Arial" w:hAnsi="Times New Roman" w:cs="Times New Roman"/>
          <w:sz w:val="28"/>
          <w:szCs w:val="28"/>
          <w:lang w:val="vi-VN"/>
        </w:rPr>
        <w:t xml:space="preserve">Indonesia cho phép mở rộng kênh phân phối bảo hiểm vi mô hơn so với bảo hiểm truyền thống. Theo quy định của Indonesia, </w:t>
      </w:r>
      <w:r w:rsidRPr="008354C2">
        <w:rPr>
          <w:rFonts w:ascii="Times New Roman" w:eastAsia="Arial" w:hAnsi="Times New Roman" w:cs="Times New Roman"/>
          <w:sz w:val="28"/>
          <w:szCs w:val="28"/>
          <w:lang w:val="vi-VN"/>
        </w:rPr>
        <w:t>bảo hiểm</w:t>
      </w:r>
      <w:r w:rsidR="005D2930" w:rsidRPr="008354C2">
        <w:rPr>
          <w:rFonts w:ascii="Times New Roman" w:eastAsia="Arial" w:hAnsi="Times New Roman" w:cs="Times New Roman"/>
          <w:sz w:val="28"/>
          <w:szCs w:val="28"/>
          <w:lang w:val="vi-VN"/>
        </w:rPr>
        <w:t xml:space="preserve"> truyền thống được phân phối qua kênh trực tiếp, đại lý bảo hiểm, bancassurrance, tổ chức kinh doanh khác ngoài ngân hàng. Riêng Bảo hiểm vi mô được bổ sung thêm kênh phân phối qua đội ngũ bán hàng (sales force) tùy theo mô hình kinh doanh. Hiện các nước như Indonesia, Philippines, Pakistan đều đã cho phép triển khai bảo hiểm vi mô qua điện thoại, thu phí bảo hiểm thông qua việc khấu trừ tài khoản điện thoại di động.</w:t>
      </w:r>
    </w:p>
    <w:p w:rsidR="005D2930" w:rsidRPr="008354C2" w:rsidRDefault="005D2930" w:rsidP="00B40B74">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Về đào tạo kênh phân phối: Chỉ yêu cầu được đào tạo về bảo hiểm, đa phần các nước không yêu cầu về thời gian đào tạ</w:t>
      </w:r>
      <w:r w:rsidR="00B40B74" w:rsidRPr="008354C2">
        <w:rPr>
          <w:rFonts w:ascii="Times New Roman" w:eastAsia="Arial" w:hAnsi="Times New Roman" w:cs="Times New Roman"/>
          <w:sz w:val="28"/>
          <w:szCs w:val="28"/>
          <w:lang w:val="vi-VN"/>
        </w:rPr>
        <w:t xml:space="preserve">o. </w:t>
      </w:r>
      <w:r w:rsidRPr="008354C2">
        <w:rPr>
          <w:rFonts w:ascii="Times New Roman" w:eastAsia="Arial" w:hAnsi="Times New Roman" w:cs="Times New Roman"/>
          <w:sz w:val="28"/>
          <w:szCs w:val="28"/>
          <w:lang w:val="vi-VN"/>
        </w:rPr>
        <w:t>Yêu cầu thời gian đào tạo thấp hơn thông thường (Ấn Độ, Đài Loan).</w:t>
      </w:r>
    </w:p>
    <w:p w:rsidR="005D2930" w:rsidRPr="008354C2" w:rsidRDefault="00B40B74" w:rsidP="00B40B74">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 xml:space="preserve">2.2.2.6. </w:t>
      </w:r>
      <w:r w:rsidR="005D2930" w:rsidRPr="008354C2">
        <w:rPr>
          <w:rFonts w:ascii="Times New Roman" w:eastAsia="Arial" w:hAnsi="Times New Roman" w:cs="Times New Roman"/>
          <w:b/>
          <w:sz w:val="28"/>
          <w:szCs w:val="28"/>
          <w:lang w:val="vi-VN"/>
        </w:rPr>
        <w:t>Quy định về thu phí bảo hiểm:</w:t>
      </w:r>
      <w:r w:rsidR="005D2930" w:rsidRPr="008354C2">
        <w:rPr>
          <w:rFonts w:ascii="Times New Roman" w:eastAsia="Arial" w:hAnsi="Times New Roman" w:cs="Times New Roman"/>
          <w:sz w:val="28"/>
          <w:szCs w:val="28"/>
          <w:lang w:val="vi-VN"/>
        </w:rPr>
        <w:t xml:space="preserve"> Cho phép thu phí bảo hiểm linh hoạt. </w:t>
      </w:r>
    </w:p>
    <w:p w:rsidR="00DB7514" w:rsidRPr="008354C2" w:rsidRDefault="00B40B74" w:rsidP="00DB7514">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 xml:space="preserve">2.2.2.7. </w:t>
      </w:r>
      <w:r w:rsidR="005D2930" w:rsidRPr="008354C2">
        <w:rPr>
          <w:rFonts w:ascii="Times New Roman" w:eastAsia="Arial" w:hAnsi="Times New Roman" w:cs="Times New Roman"/>
          <w:b/>
          <w:sz w:val="28"/>
          <w:szCs w:val="28"/>
          <w:lang w:val="vi-VN"/>
        </w:rPr>
        <w:t>Quy định về giải quyết quyền lợi bảo hiểm</w:t>
      </w:r>
      <w:r w:rsidR="005D2930" w:rsidRPr="008354C2">
        <w:rPr>
          <w:rFonts w:ascii="Times New Roman" w:eastAsia="Arial" w:hAnsi="Times New Roman" w:cs="Times New Roman"/>
          <w:sz w:val="28"/>
          <w:szCs w:val="28"/>
          <w:lang w:val="vi-VN"/>
        </w:rPr>
        <w:t xml:space="preserve">: Thường các nước quy định thời gian thu phí bảo hiểm ngắn và cho phép các cách thức áp dụng để thẩm định đơn giản thay vì thẩm định đầy đủ như bảo hiểm thương mại thông thường. </w:t>
      </w:r>
    </w:p>
    <w:tbl>
      <w:tblPr>
        <w:tblStyle w:val="TableGrid3"/>
        <w:tblW w:w="0" w:type="auto"/>
        <w:tblInd w:w="108" w:type="dxa"/>
        <w:tblLook w:val="04A0"/>
      </w:tblPr>
      <w:tblGrid>
        <w:gridCol w:w="3520"/>
        <w:gridCol w:w="5552"/>
      </w:tblGrid>
      <w:tr w:rsidR="005D2930" w:rsidRPr="0064777E" w:rsidTr="0064777E">
        <w:tc>
          <w:tcPr>
            <w:tcW w:w="3520" w:type="dxa"/>
            <w:vAlign w:val="center"/>
          </w:tcPr>
          <w:p w:rsidR="005D2930" w:rsidRPr="008354C2" w:rsidRDefault="005D2930" w:rsidP="00B40B74">
            <w:pPr>
              <w:spacing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Quốc gia</w:t>
            </w:r>
          </w:p>
        </w:tc>
        <w:tc>
          <w:tcPr>
            <w:tcW w:w="5552" w:type="dxa"/>
          </w:tcPr>
          <w:p w:rsidR="005D2930" w:rsidRPr="008354C2" w:rsidRDefault="005D2930" w:rsidP="00B40B74">
            <w:pPr>
              <w:spacing w:line="276"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Thời gian giải quyết quyền lợi tối đa</w:t>
            </w:r>
          </w:p>
        </w:tc>
      </w:tr>
      <w:tr w:rsidR="005D2930" w:rsidRPr="008354C2" w:rsidTr="0064777E">
        <w:tc>
          <w:tcPr>
            <w:tcW w:w="3520" w:type="dxa"/>
          </w:tcPr>
          <w:p w:rsidR="005D2930" w:rsidRPr="008354C2" w:rsidRDefault="005D2930" w:rsidP="00B40B74">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Philippines</w:t>
            </w:r>
          </w:p>
        </w:tc>
        <w:tc>
          <w:tcPr>
            <w:tcW w:w="5552" w:type="dxa"/>
          </w:tcPr>
          <w:p w:rsidR="005D2930" w:rsidRPr="008354C2" w:rsidRDefault="005D2930" w:rsidP="00B40B74">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10 ngày</w:t>
            </w:r>
          </w:p>
        </w:tc>
      </w:tr>
      <w:tr w:rsidR="005D2930" w:rsidRPr="008354C2" w:rsidTr="0064777E">
        <w:tc>
          <w:tcPr>
            <w:tcW w:w="3520" w:type="dxa"/>
          </w:tcPr>
          <w:p w:rsidR="005D2930" w:rsidRPr="008354C2" w:rsidRDefault="005D2930" w:rsidP="00B40B74">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Peru</w:t>
            </w:r>
          </w:p>
        </w:tc>
        <w:tc>
          <w:tcPr>
            <w:tcW w:w="5552" w:type="dxa"/>
          </w:tcPr>
          <w:p w:rsidR="005D2930" w:rsidRPr="008354C2" w:rsidRDefault="005D2930" w:rsidP="00B40B74">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20 ngày</w:t>
            </w:r>
          </w:p>
        </w:tc>
      </w:tr>
      <w:tr w:rsidR="005D2930" w:rsidRPr="008354C2" w:rsidTr="0064777E">
        <w:tc>
          <w:tcPr>
            <w:tcW w:w="3520" w:type="dxa"/>
          </w:tcPr>
          <w:p w:rsidR="005D2930" w:rsidRPr="008354C2" w:rsidRDefault="005D2930" w:rsidP="00B40B74">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Campuchia</w:t>
            </w:r>
          </w:p>
        </w:tc>
        <w:tc>
          <w:tcPr>
            <w:tcW w:w="5552" w:type="dxa"/>
          </w:tcPr>
          <w:p w:rsidR="005D2930" w:rsidRPr="008354C2" w:rsidRDefault="005D2930" w:rsidP="00B40B74">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30 ngày</w:t>
            </w:r>
          </w:p>
        </w:tc>
      </w:tr>
      <w:tr w:rsidR="005D2930" w:rsidRPr="0064777E" w:rsidTr="0064777E">
        <w:tc>
          <w:tcPr>
            <w:tcW w:w="3520" w:type="dxa"/>
          </w:tcPr>
          <w:p w:rsidR="005D2930" w:rsidRPr="008354C2" w:rsidRDefault="005D2930" w:rsidP="00B40B74">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Ấn Độ</w:t>
            </w:r>
          </w:p>
        </w:tc>
        <w:tc>
          <w:tcPr>
            <w:tcW w:w="5552" w:type="dxa"/>
          </w:tcPr>
          <w:p w:rsidR="005D2930" w:rsidRPr="008354C2" w:rsidRDefault="005D2930" w:rsidP="00B40B74">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Giải quyết nhanh nhất có thể</w:t>
            </w:r>
          </w:p>
        </w:tc>
      </w:tr>
      <w:tr w:rsidR="005D2930" w:rsidRPr="008354C2" w:rsidTr="0064777E">
        <w:tc>
          <w:tcPr>
            <w:tcW w:w="3520" w:type="dxa"/>
          </w:tcPr>
          <w:p w:rsidR="005D2930" w:rsidRPr="008354C2" w:rsidRDefault="005D2930" w:rsidP="00B40B74">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Indonesia</w:t>
            </w:r>
          </w:p>
        </w:tc>
        <w:tc>
          <w:tcPr>
            <w:tcW w:w="5552" w:type="dxa"/>
          </w:tcPr>
          <w:p w:rsidR="005D2930" w:rsidRPr="008354C2" w:rsidRDefault="005D2930" w:rsidP="00B40B74">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10 ngày</w:t>
            </w:r>
          </w:p>
        </w:tc>
      </w:tr>
      <w:tr w:rsidR="005D2930" w:rsidRPr="008354C2" w:rsidTr="0064777E">
        <w:tc>
          <w:tcPr>
            <w:tcW w:w="3520" w:type="dxa"/>
          </w:tcPr>
          <w:p w:rsidR="005D2930" w:rsidRPr="008354C2" w:rsidRDefault="005D2930" w:rsidP="00B40B74">
            <w:pPr>
              <w:spacing w:before="60" w:after="60" w:line="276"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Parkistan</w:t>
            </w:r>
          </w:p>
        </w:tc>
        <w:tc>
          <w:tcPr>
            <w:tcW w:w="5552" w:type="dxa"/>
          </w:tcPr>
          <w:p w:rsidR="005D2930" w:rsidRPr="008354C2" w:rsidRDefault="005D2930" w:rsidP="00B40B74">
            <w:pPr>
              <w:spacing w:before="60" w:after="60" w:line="276" w:lineRule="auto"/>
              <w:jc w:val="center"/>
              <w:rPr>
                <w:rFonts w:ascii="Times New Roman" w:eastAsia="Arial" w:hAnsi="Times New Roman" w:cs="Times New Roman"/>
                <w:sz w:val="28"/>
                <w:szCs w:val="28"/>
              </w:rPr>
            </w:pPr>
            <w:r w:rsidRPr="008354C2">
              <w:rPr>
                <w:rFonts w:ascii="Times New Roman" w:eastAsia="Arial" w:hAnsi="Times New Roman" w:cs="Times New Roman"/>
                <w:sz w:val="28"/>
                <w:szCs w:val="28"/>
              </w:rPr>
              <w:t>30 ngày</w:t>
            </w:r>
          </w:p>
        </w:tc>
      </w:tr>
    </w:tbl>
    <w:p w:rsidR="00DB7514" w:rsidRPr="008354C2" w:rsidRDefault="00B40B74" w:rsidP="00DB7514">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 xml:space="preserve">2.2.2.8. </w:t>
      </w:r>
      <w:r w:rsidR="005D2930" w:rsidRPr="008354C2">
        <w:rPr>
          <w:rFonts w:ascii="Times New Roman" w:eastAsia="Arial" w:hAnsi="Times New Roman" w:cs="Times New Roman"/>
          <w:b/>
          <w:sz w:val="28"/>
          <w:szCs w:val="28"/>
        </w:rPr>
        <w:t>Hỗ trợ của Nhà nước</w:t>
      </w:r>
      <w:r w:rsidR="00DB7514" w:rsidRPr="008354C2">
        <w:rPr>
          <w:rFonts w:ascii="Times New Roman" w:eastAsia="Arial" w:hAnsi="Times New Roman" w:cs="Times New Roman"/>
          <w:b/>
          <w:sz w:val="28"/>
          <w:szCs w:val="28"/>
        </w:rPr>
        <w:t xml:space="preserve"> đối với bảo hiểm vi mô</w:t>
      </w:r>
    </w:p>
    <w:p w:rsidR="005D2930" w:rsidRPr="008354C2" w:rsidRDefault="005D2930" w:rsidP="00DB7514">
      <w:pPr>
        <w:spacing w:before="120" w:after="120"/>
        <w:jc w:val="both"/>
        <w:rPr>
          <w:rFonts w:ascii="Times New Roman" w:eastAsia="Arial" w:hAnsi="Times New Roman" w:cs="Times New Roman"/>
          <w:b/>
          <w:i/>
          <w:sz w:val="28"/>
          <w:szCs w:val="28"/>
        </w:rPr>
      </w:pPr>
      <w:r w:rsidRPr="008354C2">
        <w:rPr>
          <w:rFonts w:ascii="Times New Roman" w:eastAsia="Arial" w:hAnsi="Times New Roman" w:cs="Times New Roman"/>
          <w:sz w:val="28"/>
          <w:szCs w:val="28"/>
        </w:rPr>
        <w:t>- Nhà nước tạo điều kiện phát triển bảo hiểm vi mô thông qua chính sách thuế, hỗ trợ từ ngân sách nhà nước, thực hiện cơ chế phê chuẩn sản phẩm hoặc mở rộng mạng lưới hoạt động dễ dàng (Indonesia, Philippines).</w:t>
      </w:r>
    </w:p>
    <w:p w:rsidR="005D2930" w:rsidRPr="008354C2" w:rsidRDefault="005D2930" w:rsidP="00DB7514">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Nhà nước tích cực phối hợp trong công tác truyền thông về bảo hiểm vi mô, thực hiện các chương trình nâng cao nhận thức của người dân về bảo hiểm vi mô nói riêng và tài chính nói chung (Philippines, Ghana, Jamaica). Riêng Philippines có Lộ trình quốc gia về nâng cao nhận thức về tài chính, bao gồm bảo hiểm vi mô, xây dựng website riêng về bảo hiểm vi mô để người dân có thể tiếp cận và tìm hiểu.</w:t>
      </w:r>
    </w:p>
    <w:p w:rsidR="006B0123" w:rsidRPr="008354C2" w:rsidRDefault="005D2930" w:rsidP="00B079A9">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Tại Ấn Độ và Nepal, để thúc đẩy bảo hiểm vi mô phát triển, cơ quan quản lý yêu cầu doanh nghiệp phải đạt 5% doanh thu khai thác mới về bảo hiểm vi mô.</w:t>
      </w:r>
    </w:p>
    <w:p w:rsidR="00EE5B9F" w:rsidRPr="008354C2" w:rsidRDefault="00EE5B9F" w:rsidP="00B079A9">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3. Các nguyên tắc đối với việc quản trị, điều hành doanh nghiệp bảo hiểm</w:t>
      </w:r>
    </w:p>
    <w:p w:rsidR="003736DB" w:rsidRPr="008354C2" w:rsidRDefault="003736DB" w:rsidP="003736DB">
      <w:pPr>
        <w:spacing w:before="120" w:after="0" w:line="240" w:lineRule="auto"/>
        <w:rPr>
          <w:rFonts w:ascii="Times New Roman" w:eastAsia="Calibri" w:hAnsi="Times New Roman" w:cs="Times New Roman"/>
          <w:b/>
          <w:sz w:val="28"/>
          <w:szCs w:val="28"/>
        </w:rPr>
      </w:pPr>
      <w:r w:rsidRPr="008354C2">
        <w:rPr>
          <w:rFonts w:ascii="Times New Roman" w:eastAsia="Arial" w:hAnsi="Times New Roman" w:cs="Times New Roman"/>
          <w:b/>
          <w:sz w:val="28"/>
          <w:szCs w:val="28"/>
        </w:rPr>
        <w:t xml:space="preserve">3.1. </w:t>
      </w:r>
      <w:r w:rsidR="003E7C59" w:rsidRPr="008354C2">
        <w:rPr>
          <w:rFonts w:ascii="Times New Roman" w:eastAsia="Arial" w:hAnsi="Times New Roman" w:cs="Times New Roman"/>
          <w:b/>
          <w:sz w:val="28"/>
          <w:szCs w:val="28"/>
        </w:rPr>
        <w:t>V</w:t>
      </w:r>
      <w:r w:rsidRPr="008354C2">
        <w:rPr>
          <w:rFonts w:ascii="Times New Roman" w:eastAsia="Calibri" w:hAnsi="Times New Roman" w:cs="Times New Roman"/>
          <w:b/>
          <w:sz w:val="28"/>
          <w:szCs w:val="28"/>
        </w:rPr>
        <w:t>ề cơ cấu tổ chức</w:t>
      </w:r>
    </w:p>
    <w:p w:rsidR="003736DB" w:rsidRPr="008354C2" w:rsidRDefault="003736DB" w:rsidP="003736DB">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sz w:val="28"/>
          <w:szCs w:val="28"/>
        </w:rPr>
        <w:t>Liên quan đến công tác quản trị doanh nghiệp bảo hiểm, doanh nghiệp tái bảo hiểm, các tổ chức như Tổ chức Hợp tác và phát triển (OECD) và Hiệp hội các nhà quản lý bảo hiểm quốc tế (IAIS) đã tổng hợp, đánh giá và đưa ra các nguyên tắc khuyến nghị thực hành tốt (best practice) về quản trị công ty để các thành viên tham khảo thực hiện, cụ thể như sau:</w:t>
      </w:r>
    </w:p>
    <w:p w:rsidR="003736DB" w:rsidRPr="008354C2" w:rsidRDefault="003E7C59" w:rsidP="00085398">
      <w:pPr>
        <w:spacing w:before="120" w:after="0"/>
        <w:ind w:firstLine="720"/>
        <w:jc w:val="both"/>
        <w:rPr>
          <w:rFonts w:ascii="Times New Roman" w:eastAsia="Calibri" w:hAnsi="Times New Roman" w:cs="Times New Roman"/>
          <w:b/>
          <w:sz w:val="28"/>
          <w:szCs w:val="28"/>
        </w:rPr>
      </w:pPr>
      <w:r w:rsidRPr="008354C2">
        <w:rPr>
          <w:rFonts w:ascii="Times New Roman" w:eastAsia="Calibri" w:hAnsi="Times New Roman" w:cs="Times New Roman"/>
          <w:sz w:val="28"/>
          <w:szCs w:val="28"/>
        </w:rPr>
        <w:t xml:space="preserve">- </w:t>
      </w:r>
      <w:r w:rsidR="003736DB" w:rsidRPr="008354C2">
        <w:rPr>
          <w:rFonts w:ascii="Times New Roman" w:eastAsia="Calibri" w:hAnsi="Times New Roman" w:cs="Times New Roman"/>
          <w:sz w:val="28"/>
          <w:szCs w:val="28"/>
        </w:rPr>
        <w:t>OECD/G20</w:t>
      </w:r>
      <w:r w:rsidR="00085398" w:rsidRPr="008354C2">
        <w:rPr>
          <w:rFonts w:ascii="Times New Roman" w:eastAsia="Calibri" w:hAnsi="Times New Roman" w:cs="Times New Roman"/>
          <w:sz w:val="28"/>
          <w:szCs w:val="28"/>
        </w:rPr>
        <w:t xml:space="preserve"> </w:t>
      </w:r>
      <w:r w:rsidR="003736DB" w:rsidRPr="008354C2">
        <w:rPr>
          <w:rFonts w:ascii="Times New Roman" w:eastAsia="Calibri" w:hAnsi="Times New Roman" w:cs="Times New Roman"/>
          <w:sz w:val="28"/>
          <w:szCs w:val="28"/>
        </w:rPr>
        <w:t>-</w:t>
      </w:r>
      <w:r w:rsidR="00085398" w:rsidRPr="008354C2">
        <w:rPr>
          <w:rFonts w:ascii="Times New Roman" w:eastAsia="Calibri" w:hAnsi="Times New Roman" w:cs="Times New Roman"/>
          <w:sz w:val="28"/>
          <w:szCs w:val="28"/>
        </w:rPr>
        <w:t xml:space="preserve"> </w:t>
      </w:r>
      <w:r w:rsidR="003736DB" w:rsidRPr="008354C2">
        <w:rPr>
          <w:rFonts w:ascii="Times New Roman" w:eastAsia="Calibri" w:hAnsi="Times New Roman" w:cs="Times New Roman"/>
          <w:sz w:val="28"/>
          <w:szCs w:val="28"/>
        </w:rPr>
        <w:t>Nguyên tắc về quản trị công ty</w:t>
      </w:r>
    </w:p>
    <w:p w:rsidR="003736DB" w:rsidRPr="008354C2" w:rsidRDefault="003E7C59" w:rsidP="00085398">
      <w:pPr>
        <w:spacing w:before="120" w:after="0"/>
        <w:ind w:firstLine="7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w:t>
      </w:r>
      <w:r w:rsidR="00085398" w:rsidRPr="008354C2">
        <w:rPr>
          <w:rFonts w:ascii="Times New Roman" w:eastAsia="Calibri" w:hAnsi="Times New Roman" w:cs="Times New Roman"/>
          <w:sz w:val="28"/>
          <w:szCs w:val="28"/>
        </w:rPr>
        <w:t xml:space="preserve"> </w:t>
      </w:r>
      <w:r w:rsidR="003736DB" w:rsidRPr="008354C2">
        <w:rPr>
          <w:rFonts w:ascii="Times New Roman" w:eastAsia="Calibri" w:hAnsi="Times New Roman" w:cs="Times New Roman"/>
          <w:sz w:val="28"/>
          <w:szCs w:val="28"/>
        </w:rPr>
        <w:t>OECD – Hướng dẫn về quản trị DNBH</w:t>
      </w:r>
    </w:p>
    <w:p w:rsidR="00A87254" w:rsidRPr="008354C2" w:rsidRDefault="003E7C59" w:rsidP="00D1699D">
      <w:pPr>
        <w:spacing w:before="120" w:after="0"/>
        <w:ind w:firstLine="720"/>
        <w:jc w:val="both"/>
        <w:rPr>
          <w:rFonts w:ascii="Times New Roman" w:hAnsi="Times New Roman"/>
          <w:sz w:val="28"/>
          <w:szCs w:val="28"/>
        </w:rPr>
      </w:pPr>
      <w:r w:rsidRPr="008354C2">
        <w:rPr>
          <w:rFonts w:ascii="Times New Roman" w:eastAsia="Calibri" w:hAnsi="Times New Roman" w:cs="Times New Roman"/>
          <w:sz w:val="28"/>
          <w:szCs w:val="28"/>
        </w:rPr>
        <w:t xml:space="preserve">- </w:t>
      </w:r>
      <w:r w:rsidR="003736DB" w:rsidRPr="008354C2">
        <w:rPr>
          <w:rFonts w:ascii="Times New Roman" w:eastAsia="Calibri" w:hAnsi="Times New Roman" w:cs="Times New Roman"/>
          <w:sz w:val="28"/>
          <w:szCs w:val="28"/>
        </w:rPr>
        <w:t>IAIS – Nguyên tắc cơ bản</w:t>
      </w:r>
      <w:r w:rsidR="00D1699D" w:rsidRPr="008354C2">
        <w:rPr>
          <w:rFonts w:ascii="Times New Roman" w:eastAsia="Calibri" w:hAnsi="Times New Roman" w:cs="Times New Roman"/>
          <w:sz w:val="28"/>
          <w:szCs w:val="28"/>
        </w:rPr>
        <w:t xml:space="preserve"> </w:t>
      </w:r>
      <w:r w:rsidR="00D1699D" w:rsidRPr="008354C2">
        <w:rPr>
          <w:rFonts w:ascii="Times New Roman" w:hAnsi="Times New Roman"/>
          <w:sz w:val="28"/>
          <w:szCs w:val="28"/>
        </w:rPr>
        <w:t>(ICP)</w:t>
      </w:r>
      <w:r w:rsidR="003736DB" w:rsidRPr="008354C2">
        <w:rPr>
          <w:rFonts w:ascii="Times New Roman" w:eastAsia="Calibri" w:hAnsi="Times New Roman" w:cs="Times New Roman"/>
          <w:sz w:val="28"/>
          <w:szCs w:val="28"/>
        </w:rPr>
        <w:t xml:space="preserve"> số 7 về Quản trị doanh nghiệ</w:t>
      </w:r>
      <w:r w:rsidR="00D1699D" w:rsidRPr="008354C2">
        <w:rPr>
          <w:rFonts w:ascii="Times New Roman" w:eastAsia="Calibri" w:hAnsi="Times New Roman" w:cs="Times New Roman"/>
          <w:sz w:val="28"/>
          <w:szCs w:val="28"/>
        </w:rPr>
        <w:t xml:space="preserve">p </w:t>
      </w:r>
      <w:r w:rsidR="00D1699D" w:rsidRPr="008354C2">
        <w:rPr>
          <w:rFonts w:ascii="Times New Roman" w:hAnsi="Times New Roman"/>
          <w:sz w:val="28"/>
          <w:szCs w:val="28"/>
        </w:rPr>
        <w:t>và Nguyên tắc số 8 về Quản lý rủi ro và Kiểm soát nội bộ.</w:t>
      </w:r>
    </w:p>
    <w:p w:rsidR="003736DB" w:rsidRPr="008354C2" w:rsidRDefault="003736DB" w:rsidP="00A87254">
      <w:pPr>
        <w:spacing w:before="120" w:after="0"/>
        <w:jc w:val="both"/>
        <w:rPr>
          <w:rFonts w:ascii="Times New Roman" w:hAnsi="Times New Roman"/>
          <w:sz w:val="28"/>
          <w:szCs w:val="28"/>
        </w:rPr>
      </w:pPr>
      <w:r w:rsidRPr="008354C2">
        <w:rPr>
          <w:rFonts w:ascii="Times New Roman" w:eastAsia="Calibri" w:hAnsi="Times New Roman" w:cs="Times New Roman"/>
          <w:sz w:val="28"/>
          <w:szCs w:val="28"/>
        </w:rPr>
        <w:t>Về cơ bản, các nguyên tắc, hướng dẫn của OECD và IAIS khuyến nghị các cơ quan quan quản lý bảo hiểm yêu cầu các DNBH thiết lập một khuôn khổ quản trị doanh nghiệp tạo điều kiện cho việc quản lý, giám sát hoạt động kinh doanh bảo hiểm lành mạnh, hiệu quả và đảm bảo quyền lời của người tham gia bảo hiểm, trong đó:</w:t>
      </w:r>
    </w:p>
    <w:p w:rsidR="00085398" w:rsidRPr="008354C2" w:rsidRDefault="003736DB" w:rsidP="00085398">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Về cơ cấu tổ chức, DNBH phải thiết lập một cơ cấu tổ chức minh bạch để hỗ trợ các mục tiêu chiến lược và hoạt động. Hội đồng Quản trị/Hội đồng Thành viên (HĐQT) và quản lý cấp cao phải biết và hiểu rõ cơ cấu này cùng các rủi ro liên quan.</w:t>
      </w:r>
    </w:p>
    <w:p w:rsidR="00085398" w:rsidRPr="008354C2" w:rsidRDefault="003736DB" w:rsidP="00085398">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OECD và IAIS không đưa ra khuyến nghị cụ thể về việc thiết lập mô hình của HĐQT có hay không có Ban kiểm soát (mô hình một cấp hay hai cấp) mà vấn đề này phụ thuộc vào hệ thống luật pháp chung về quản trị doanh nghiệp của các nước. Tuy nhiên, theo lý thuyết về quản trị, mô hình có tổ chức Ban kiểm soát sẽ làm tăng cường tính khách quan, giám sát lẫn nhau và cân bằng quyền lực tại cơ quan quyền lực cao nhất của doanh nghiệp (</w:t>
      </w:r>
      <w:r w:rsidRPr="008354C2">
        <w:rPr>
          <w:rFonts w:ascii="Times New Roman" w:eastAsia="Calibri" w:hAnsi="Times New Roman" w:cs="Times New Roman"/>
          <w:i/>
          <w:sz w:val="28"/>
          <w:szCs w:val="28"/>
        </w:rPr>
        <w:t>the governance check and balance of the insurers</w:t>
      </w:r>
      <w:r w:rsidRPr="008354C2">
        <w:rPr>
          <w:rFonts w:ascii="Times New Roman" w:eastAsia="Calibri" w:hAnsi="Times New Roman" w:cs="Times New Roman"/>
          <w:sz w:val="28"/>
          <w:szCs w:val="28"/>
        </w:rPr>
        <w:t>); thực tế đây cũng là mô hình phổ biến tại  Đức và Trung Quốc.</w:t>
      </w:r>
    </w:p>
    <w:p w:rsidR="00085398" w:rsidRPr="008354C2" w:rsidRDefault="003736DB" w:rsidP="00085398">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Ngoài ra, OECD và IAIS đều đề cao việc tăng </w:t>
      </w:r>
      <w:r w:rsidR="00085398" w:rsidRPr="008354C2">
        <w:rPr>
          <w:rFonts w:ascii="Times New Roman" w:eastAsia="Calibri" w:hAnsi="Times New Roman" w:cs="Times New Roman"/>
          <w:sz w:val="28"/>
          <w:szCs w:val="28"/>
        </w:rPr>
        <w:t>cường</w:t>
      </w:r>
      <w:r w:rsidRPr="008354C2">
        <w:rPr>
          <w:rFonts w:ascii="Times New Roman" w:eastAsia="Calibri" w:hAnsi="Times New Roman" w:cs="Times New Roman"/>
          <w:sz w:val="28"/>
          <w:szCs w:val="28"/>
        </w:rPr>
        <w:t xml:space="preserve"> tính khách quan, độc lập của HĐQT. Việc này có </w:t>
      </w:r>
      <w:r w:rsidR="00085398" w:rsidRPr="008354C2">
        <w:rPr>
          <w:rFonts w:ascii="Times New Roman" w:eastAsia="Calibri" w:hAnsi="Times New Roman" w:cs="Times New Roman"/>
          <w:sz w:val="28"/>
          <w:szCs w:val="28"/>
        </w:rPr>
        <w:t>thể</w:t>
      </w:r>
      <w:r w:rsidRPr="008354C2">
        <w:rPr>
          <w:rFonts w:ascii="Times New Roman" w:eastAsia="Calibri" w:hAnsi="Times New Roman" w:cs="Times New Roman"/>
          <w:sz w:val="28"/>
          <w:szCs w:val="28"/>
        </w:rPr>
        <w:t xml:space="preserve"> đạt được thông qua việc bổ hiểm một tỷ lệ hợp lý các thành viên HĐQT độc lập (</w:t>
      </w:r>
      <w:r w:rsidRPr="008354C2">
        <w:rPr>
          <w:rFonts w:ascii="Times New Roman" w:eastAsia="Calibri" w:hAnsi="Times New Roman" w:cs="Times New Roman"/>
          <w:i/>
          <w:sz w:val="28"/>
          <w:szCs w:val="28"/>
        </w:rPr>
        <w:t>non-excecutive governance</w:t>
      </w:r>
      <w:r w:rsidRPr="008354C2">
        <w:rPr>
          <w:rFonts w:ascii="Times New Roman" w:eastAsia="Calibri" w:hAnsi="Times New Roman" w:cs="Times New Roman"/>
          <w:sz w:val="28"/>
          <w:szCs w:val="28"/>
        </w:rPr>
        <w:t xml:space="preserve">). Đồng thời, khuyến nghị việc thành lập các Ủy ban trực thuộc theo dõi các mảng nhiệm vụ cụ thể để hỗ trợ cho hoạt động toàn thể của HĐQT như Ủy ban kiểm toán, </w:t>
      </w:r>
      <w:r w:rsidR="00A87254" w:rsidRPr="008354C2">
        <w:rPr>
          <w:rFonts w:ascii="Times New Roman" w:eastAsia="Calibri" w:hAnsi="Times New Roman" w:cs="Times New Roman"/>
          <w:sz w:val="28"/>
          <w:szCs w:val="28"/>
        </w:rPr>
        <w:t xml:space="preserve">Ủy ban </w:t>
      </w:r>
      <w:r w:rsidRPr="008354C2">
        <w:rPr>
          <w:rFonts w:ascii="Times New Roman" w:eastAsia="Calibri" w:hAnsi="Times New Roman" w:cs="Times New Roman"/>
          <w:sz w:val="28"/>
          <w:szCs w:val="28"/>
        </w:rPr>
        <w:t xml:space="preserve">quản lý rủi ro, </w:t>
      </w:r>
      <w:r w:rsidR="00A87254" w:rsidRPr="008354C2">
        <w:rPr>
          <w:rFonts w:ascii="Times New Roman" w:eastAsia="Calibri" w:hAnsi="Times New Roman" w:cs="Times New Roman"/>
          <w:sz w:val="28"/>
          <w:szCs w:val="28"/>
        </w:rPr>
        <w:t xml:space="preserve">Ủy ban </w:t>
      </w:r>
      <w:r w:rsidRPr="008354C2">
        <w:rPr>
          <w:rFonts w:ascii="Times New Roman" w:eastAsia="Calibri" w:hAnsi="Times New Roman" w:cs="Times New Roman"/>
          <w:sz w:val="28"/>
          <w:szCs w:val="28"/>
        </w:rPr>
        <w:t>tiền lương</w:t>
      </w:r>
      <w:r w:rsidR="00A87254" w:rsidRPr="008354C2">
        <w:rPr>
          <w:rFonts w:ascii="Times New Roman" w:eastAsia="Calibri" w:hAnsi="Times New Roman" w:cs="Times New Roman"/>
          <w:sz w:val="28"/>
          <w:szCs w:val="28"/>
        </w:rPr>
        <w:t>, Ủy ban nhân sự</w:t>
      </w:r>
      <w:r w:rsidRPr="008354C2">
        <w:rPr>
          <w:rFonts w:ascii="Times New Roman" w:eastAsia="Calibri" w:hAnsi="Times New Roman" w:cs="Times New Roman"/>
          <w:sz w:val="28"/>
          <w:szCs w:val="28"/>
        </w:rPr>
        <w:t xml:space="preserve">…Trong đó, Ủy ban kiểm toán </w:t>
      </w:r>
      <w:r w:rsidR="003E7C59" w:rsidRPr="008354C2">
        <w:rPr>
          <w:rFonts w:ascii="Times New Roman" w:eastAsia="Calibri" w:hAnsi="Times New Roman" w:cs="Times New Roman"/>
          <w:sz w:val="28"/>
          <w:szCs w:val="28"/>
        </w:rPr>
        <w:t>là</w:t>
      </w:r>
      <w:r w:rsidRPr="008354C2">
        <w:rPr>
          <w:rFonts w:ascii="Times New Roman" w:eastAsia="Calibri" w:hAnsi="Times New Roman" w:cs="Times New Roman"/>
          <w:sz w:val="28"/>
          <w:szCs w:val="28"/>
        </w:rPr>
        <w:t xml:space="preserve"> hết sức cần thiết nhằm rà soát báo cáo tài chính và giám sát </w:t>
      </w:r>
      <w:r w:rsidR="003E7C59" w:rsidRPr="008354C2">
        <w:rPr>
          <w:rFonts w:ascii="Times New Roman" w:eastAsia="Calibri" w:hAnsi="Times New Roman" w:cs="Times New Roman"/>
          <w:sz w:val="28"/>
          <w:szCs w:val="28"/>
        </w:rPr>
        <w:t>hoạt</w:t>
      </w:r>
      <w:r w:rsidRPr="008354C2">
        <w:rPr>
          <w:rFonts w:ascii="Times New Roman" w:eastAsia="Calibri" w:hAnsi="Times New Roman" w:cs="Times New Roman"/>
          <w:sz w:val="28"/>
          <w:szCs w:val="28"/>
        </w:rPr>
        <w:t xml:space="preserve"> động của kiểm toán nội bộ và kiểm toán độc lập.</w:t>
      </w:r>
    </w:p>
    <w:p w:rsidR="003736DB" w:rsidRPr="008354C2" w:rsidRDefault="003736DB" w:rsidP="00085398">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Theo một khảo sát các cơ quan quản lý bảo hiểm, hiệp hội bảo hiểm và DNBH do IAIS phối hợp với OECD và WB thực hiện năm 2008</w:t>
      </w:r>
      <w:r w:rsidRPr="008354C2">
        <w:rPr>
          <w:rFonts w:ascii="Times New Roman" w:eastAsia="Calibri" w:hAnsi="Times New Roman" w:cs="Times New Roman"/>
          <w:sz w:val="28"/>
          <w:szCs w:val="28"/>
          <w:vertAlign w:val="superscript"/>
        </w:rPr>
        <w:footnoteReference w:id="1"/>
      </w:r>
      <w:r w:rsidRPr="008354C2">
        <w:rPr>
          <w:rFonts w:ascii="Times New Roman" w:eastAsia="Calibri" w:hAnsi="Times New Roman" w:cs="Times New Roman"/>
          <w:sz w:val="28"/>
          <w:szCs w:val="28"/>
        </w:rPr>
        <w:t xml:space="preserve"> cho thấy, 58% cho thiết lập Ủy ban kiểm toán (trong đó 28% là theo yêu cầu bắt buộc của pháp luật).</w:t>
      </w:r>
    </w:p>
    <w:p w:rsidR="003736DB" w:rsidRPr="008354C2" w:rsidRDefault="003736DB" w:rsidP="003736DB">
      <w:pPr>
        <w:spacing w:before="120" w:after="0"/>
        <w:ind w:firstLine="720"/>
        <w:jc w:val="center"/>
        <w:rPr>
          <w:rFonts w:ascii="Times New Roman" w:eastAsia="Calibri" w:hAnsi="Times New Roman" w:cs="Times New Roman"/>
          <w:b/>
          <w:sz w:val="28"/>
          <w:szCs w:val="28"/>
        </w:rPr>
      </w:pPr>
      <w:r w:rsidRPr="008354C2">
        <w:rPr>
          <w:rFonts w:ascii="Times New Roman" w:eastAsia="Calibri" w:hAnsi="Times New Roman" w:cs="Times New Roman"/>
          <w:b/>
          <w:sz w:val="28"/>
          <w:szCs w:val="28"/>
        </w:rPr>
        <w:t>Kết quả khảo sát về thực tế thành lập các ủy ban trực thuộc HĐQT (tỷ lệ % phản hồi)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3543"/>
        <w:gridCol w:w="2043"/>
        <w:gridCol w:w="2068"/>
      </w:tblGrid>
      <w:tr w:rsidR="003736DB" w:rsidRPr="008354C2" w:rsidTr="00433510">
        <w:tc>
          <w:tcPr>
            <w:tcW w:w="510" w:type="dxa"/>
          </w:tcPr>
          <w:p w:rsidR="003736DB" w:rsidRPr="008354C2" w:rsidRDefault="003736DB" w:rsidP="003736DB">
            <w:pPr>
              <w:spacing w:before="120" w:after="0"/>
              <w:jc w:val="center"/>
              <w:rPr>
                <w:rFonts w:ascii="Times New Roman" w:eastAsia="Calibri" w:hAnsi="Times New Roman" w:cs="Times New Roman"/>
                <w:b/>
                <w:sz w:val="28"/>
                <w:szCs w:val="28"/>
              </w:rPr>
            </w:pPr>
            <w:r w:rsidRPr="008354C2">
              <w:rPr>
                <w:rFonts w:ascii="Times New Roman" w:eastAsia="Calibri" w:hAnsi="Times New Roman" w:cs="Times New Roman"/>
                <w:b/>
                <w:sz w:val="28"/>
                <w:szCs w:val="28"/>
              </w:rPr>
              <w:t>TT</w:t>
            </w:r>
          </w:p>
        </w:tc>
        <w:tc>
          <w:tcPr>
            <w:tcW w:w="3543" w:type="dxa"/>
          </w:tcPr>
          <w:p w:rsidR="003736DB" w:rsidRPr="008354C2" w:rsidRDefault="003736DB" w:rsidP="003736DB">
            <w:pPr>
              <w:spacing w:before="120" w:after="0"/>
              <w:jc w:val="center"/>
              <w:rPr>
                <w:rFonts w:ascii="Times New Roman" w:eastAsia="Calibri" w:hAnsi="Times New Roman" w:cs="Times New Roman"/>
                <w:b/>
                <w:sz w:val="28"/>
                <w:szCs w:val="28"/>
              </w:rPr>
            </w:pPr>
            <w:r w:rsidRPr="008354C2">
              <w:rPr>
                <w:rFonts w:ascii="Times New Roman" w:eastAsia="Calibri" w:hAnsi="Times New Roman" w:cs="Times New Roman"/>
                <w:b/>
                <w:sz w:val="28"/>
                <w:szCs w:val="28"/>
              </w:rPr>
              <w:t>Ủy ban</w:t>
            </w:r>
          </w:p>
        </w:tc>
        <w:tc>
          <w:tcPr>
            <w:tcW w:w="2043" w:type="dxa"/>
          </w:tcPr>
          <w:p w:rsidR="003736DB" w:rsidRPr="008354C2" w:rsidRDefault="003736DB" w:rsidP="003736DB">
            <w:pPr>
              <w:spacing w:before="120" w:after="0"/>
              <w:jc w:val="center"/>
              <w:rPr>
                <w:rFonts w:ascii="Times New Roman" w:eastAsia="Calibri" w:hAnsi="Times New Roman" w:cs="Times New Roman"/>
                <w:b/>
                <w:sz w:val="28"/>
                <w:szCs w:val="28"/>
              </w:rPr>
            </w:pPr>
            <w:r w:rsidRPr="008354C2">
              <w:rPr>
                <w:rFonts w:ascii="Times New Roman" w:eastAsia="Calibri" w:hAnsi="Times New Roman" w:cs="Times New Roman"/>
                <w:b/>
                <w:sz w:val="28"/>
                <w:szCs w:val="28"/>
              </w:rPr>
              <w:t>Có thành lập trên thực tế</w:t>
            </w:r>
          </w:p>
        </w:tc>
        <w:tc>
          <w:tcPr>
            <w:tcW w:w="2068" w:type="dxa"/>
          </w:tcPr>
          <w:p w:rsidR="003736DB" w:rsidRPr="008354C2" w:rsidRDefault="003736DB" w:rsidP="003736DB">
            <w:pPr>
              <w:spacing w:before="120" w:after="0"/>
              <w:jc w:val="center"/>
              <w:rPr>
                <w:rFonts w:ascii="Times New Roman" w:eastAsia="Calibri" w:hAnsi="Times New Roman" w:cs="Times New Roman"/>
                <w:b/>
                <w:sz w:val="28"/>
                <w:szCs w:val="28"/>
              </w:rPr>
            </w:pPr>
            <w:r w:rsidRPr="008354C2">
              <w:rPr>
                <w:rFonts w:ascii="Times New Roman" w:eastAsia="Calibri" w:hAnsi="Times New Roman" w:cs="Times New Roman"/>
                <w:b/>
                <w:sz w:val="28"/>
                <w:szCs w:val="28"/>
              </w:rPr>
              <w:t>Bắt buộc thành lập theo quy định PL</w:t>
            </w:r>
          </w:p>
        </w:tc>
      </w:tr>
      <w:tr w:rsidR="003736DB" w:rsidRPr="008354C2" w:rsidTr="00433510">
        <w:tc>
          <w:tcPr>
            <w:tcW w:w="510" w:type="dxa"/>
          </w:tcPr>
          <w:p w:rsidR="003736DB" w:rsidRPr="008354C2" w:rsidRDefault="003736DB" w:rsidP="003736DB">
            <w:pPr>
              <w:spacing w:before="120" w:after="0"/>
              <w:jc w:val="center"/>
              <w:rPr>
                <w:rFonts w:ascii="Times New Roman" w:eastAsia="Calibri" w:hAnsi="Times New Roman" w:cs="Times New Roman"/>
                <w:sz w:val="28"/>
                <w:szCs w:val="28"/>
              </w:rPr>
            </w:pPr>
          </w:p>
        </w:tc>
        <w:tc>
          <w:tcPr>
            <w:tcW w:w="35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Kiểm toán</w:t>
            </w:r>
          </w:p>
        </w:tc>
        <w:tc>
          <w:tcPr>
            <w:tcW w:w="20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58%</w:t>
            </w:r>
          </w:p>
        </w:tc>
        <w:tc>
          <w:tcPr>
            <w:tcW w:w="2068"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28%</w:t>
            </w:r>
          </w:p>
        </w:tc>
      </w:tr>
      <w:tr w:rsidR="003736DB" w:rsidRPr="008354C2" w:rsidTr="00433510">
        <w:tc>
          <w:tcPr>
            <w:tcW w:w="510" w:type="dxa"/>
          </w:tcPr>
          <w:p w:rsidR="003736DB" w:rsidRPr="008354C2" w:rsidRDefault="003736DB" w:rsidP="003736DB">
            <w:pPr>
              <w:spacing w:before="120" w:after="0"/>
              <w:jc w:val="center"/>
              <w:rPr>
                <w:rFonts w:ascii="Times New Roman" w:eastAsia="Calibri" w:hAnsi="Times New Roman" w:cs="Times New Roman"/>
                <w:sz w:val="28"/>
                <w:szCs w:val="28"/>
              </w:rPr>
            </w:pPr>
          </w:p>
        </w:tc>
        <w:tc>
          <w:tcPr>
            <w:tcW w:w="35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Quản lý rủi ro</w:t>
            </w:r>
          </w:p>
        </w:tc>
        <w:tc>
          <w:tcPr>
            <w:tcW w:w="20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31%</w:t>
            </w:r>
          </w:p>
        </w:tc>
        <w:tc>
          <w:tcPr>
            <w:tcW w:w="2068"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11%</w:t>
            </w:r>
          </w:p>
        </w:tc>
      </w:tr>
      <w:tr w:rsidR="003736DB" w:rsidRPr="008354C2" w:rsidTr="00433510">
        <w:tc>
          <w:tcPr>
            <w:tcW w:w="510" w:type="dxa"/>
          </w:tcPr>
          <w:p w:rsidR="003736DB" w:rsidRPr="008354C2" w:rsidRDefault="003736DB" w:rsidP="003736DB">
            <w:pPr>
              <w:spacing w:before="120" w:after="0"/>
              <w:jc w:val="center"/>
              <w:rPr>
                <w:rFonts w:ascii="Times New Roman" w:eastAsia="Calibri" w:hAnsi="Times New Roman" w:cs="Times New Roman"/>
                <w:sz w:val="28"/>
                <w:szCs w:val="28"/>
              </w:rPr>
            </w:pPr>
          </w:p>
        </w:tc>
        <w:tc>
          <w:tcPr>
            <w:tcW w:w="35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Nhân sự</w:t>
            </w:r>
          </w:p>
        </w:tc>
        <w:tc>
          <w:tcPr>
            <w:tcW w:w="20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25%</w:t>
            </w:r>
          </w:p>
        </w:tc>
        <w:tc>
          <w:tcPr>
            <w:tcW w:w="2068"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14%</w:t>
            </w:r>
          </w:p>
        </w:tc>
      </w:tr>
      <w:tr w:rsidR="003736DB" w:rsidRPr="008354C2" w:rsidTr="00433510">
        <w:tc>
          <w:tcPr>
            <w:tcW w:w="510" w:type="dxa"/>
          </w:tcPr>
          <w:p w:rsidR="003736DB" w:rsidRPr="008354C2" w:rsidRDefault="003736DB" w:rsidP="003736DB">
            <w:pPr>
              <w:spacing w:before="120" w:after="0"/>
              <w:jc w:val="center"/>
              <w:rPr>
                <w:rFonts w:ascii="Times New Roman" w:eastAsia="Calibri" w:hAnsi="Times New Roman" w:cs="Times New Roman"/>
                <w:sz w:val="28"/>
                <w:szCs w:val="28"/>
              </w:rPr>
            </w:pPr>
          </w:p>
        </w:tc>
        <w:tc>
          <w:tcPr>
            <w:tcW w:w="35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Lương, thưởng</w:t>
            </w:r>
          </w:p>
        </w:tc>
        <w:tc>
          <w:tcPr>
            <w:tcW w:w="20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25%</w:t>
            </w:r>
          </w:p>
        </w:tc>
        <w:tc>
          <w:tcPr>
            <w:tcW w:w="2068"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14%</w:t>
            </w:r>
          </w:p>
        </w:tc>
      </w:tr>
      <w:tr w:rsidR="003736DB" w:rsidRPr="008354C2" w:rsidTr="00433510">
        <w:tc>
          <w:tcPr>
            <w:tcW w:w="510" w:type="dxa"/>
          </w:tcPr>
          <w:p w:rsidR="003736DB" w:rsidRPr="008354C2" w:rsidRDefault="003736DB" w:rsidP="003736DB">
            <w:pPr>
              <w:spacing w:before="120" w:after="0"/>
              <w:jc w:val="center"/>
              <w:rPr>
                <w:rFonts w:ascii="Times New Roman" w:eastAsia="Calibri" w:hAnsi="Times New Roman" w:cs="Times New Roman"/>
                <w:sz w:val="28"/>
                <w:szCs w:val="28"/>
              </w:rPr>
            </w:pPr>
          </w:p>
        </w:tc>
        <w:tc>
          <w:tcPr>
            <w:tcW w:w="35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Đầu tư</w:t>
            </w:r>
          </w:p>
        </w:tc>
        <w:tc>
          <w:tcPr>
            <w:tcW w:w="2043"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22%</w:t>
            </w:r>
          </w:p>
        </w:tc>
        <w:tc>
          <w:tcPr>
            <w:tcW w:w="2068" w:type="dxa"/>
          </w:tcPr>
          <w:p w:rsidR="003736DB" w:rsidRPr="008354C2" w:rsidRDefault="003736DB" w:rsidP="003736DB">
            <w:pPr>
              <w:spacing w:before="120" w:after="0"/>
              <w:jc w:val="center"/>
              <w:rPr>
                <w:rFonts w:ascii="Times New Roman" w:eastAsia="Calibri" w:hAnsi="Times New Roman" w:cs="Times New Roman"/>
                <w:sz w:val="28"/>
                <w:szCs w:val="28"/>
              </w:rPr>
            </w:pPr>
            <w:r w:rsidRPr="008354C2">
              <w:rPr>
                <w:rFonts w:ascii="Times New Roman" w:eastAsia="Calibri" w:hAnsi="Times New Roman" w:cs="Times New Roman"/>
                <w:sz w:val="28"/>
                <w:szCs w:val="28"/>
              </w:rPr>
              <w:t>11%</w:t>
            </w:r>
          </w:p>
        </w:tc>
      </w:tr>
    </w:tbl>
    <w:p w:rsidR="003736DB" w:rsidRPr="008354C2" w:rsidRDefault="003736DB" w:rsidP="003736DB">
      <w:pPr>
        <w:spacing w:before="120" w:after="0"/>
        <w:ind w:firstLine="720"/>
        <w:rPr>
          <w:rFonts w:ascii="Times New Roman" w:eastAsia="Calibri" w:hAnsi="Times New Roman" w:cs="Times New Roman"/>
          <w:i/>
          <w:sz w:val="28"/>
          <w:szCs w:val="24"/>
        </w:rPr>
      </w:pPr>
      <w:r w:rsidRPr="008354C2">
        <w:rPr>
          <w:rFonts w:ascii="Times New Roman" w:eastAsia="Calibri" w:hAnsi="Times New Roman" w:cs="Times New Roman"/>
          <w:i/>
          <w:sz w:val="28"/>
          <w:szCs w:val="24"/>
        </w:rPr>
        <w:t>(Báo cáo khảo sát về quản trị DNBH, IAIS, OCD và WB, 3/2009)</w:t>
      </w:r>
    </w:p>
    <w:p w:rsidR="005F2600" w:rsidRDefault="005F2600" w:rsidP="00085398">
      <w:pPr>
        <w:spacing w:before="120" w:after="120"/>
        <w:rPr>
          <w:rFonts w:ascii="Times New Roman" w:eastAsia="Calibri" w:hAnsi="Times New Roman" w:cs="Times New Roman"/>
          <w:b/>
          <w:sz w:val="28"/>
          <w:szCs w:val="28"/>
        </w:rPr>
      </w:pPr>
    </w:p>
    <w:p w:rsidR="005F2600" w:rsidRDefault="005F2600" w:rsidP="00085398">
      <w:pPr>
        <w:spacing w:before="120" w:after="120"/>
        <w:rPr>
          <w:rFonts w:ascii="Times New Roman" w:eastAsia="Calibri" w:hAnsi="Times New Roman" w:cs="Times New Roman"/>
          <w:b/>
          <w:sz w:val="28"/>
          <w:szCs w:val="28"/>
        </w:rPr>
      </w:pPr>
    </w:p>
    <w:p w:rsidR="005F2600" w:rsidRDefault="005F2600" w:rsidP="00085398">
      <w:pPr>
        <w:spacing w:before="120" w:after="120"/>
        <w:rPr>
          <w:rFonts w:ascii="Times New Roman" w:eastAsia="Calibri" w:hAnsi="Times New Roman" w:cs="Times New Roman"/>
          <w:b/>
          <w:sz w:val="28"/>
          <w:szCs w:val="28"/>
        </w:rPr>
      </w:pPr>
    </w:p>
    <w:p w:rsidR="00085398" w:rsidRPr="008354C2" w:rsidRDefault="00085398" w:rsidP="00085398">
      <w:pPr>
        <w:spacing w:before="120" w:after="120"/>
        <w:rPr>
          <w:rFonts w:ascii="Times New Roman" w:eastAsia="Calibri" w:hAnsi="Times New Roman" w:cs="Times New Roman"/>
          <w:b/>
          <w:sz w:val="28"/>
          <w:szCs w:val="28"/>
        </w:rPr>
      </w:pPr>
      <w:r w:rsidRPr="008354C2">
        <w:rPr>
          <w:rFonts w:ascii="Times New Roman" w:eastAsia="Calibri" w:hAnsi="Times New Roman" w:cs="Times New Roman"/>
          <w:b/>
          <w:sz w:val="28"/>
          <w:szCs w:val="28"/>
        </w:rPr>
        <w:t>3.</w:t>
      </w:r>
      <w:r w:rsidR="003736DB" w:rsidRPr="008354C2">
        <w:rPr>
          <w:rFonts w:ascii="Times New Roman" w:eastAsia="Calibri" w:hAnsi="Times New Roman" w:cs="Times New Roman"/>
          <w:b/>
          <w:sz w:val="28"/>
          <w:szCs w:val="28"/>
        </w:rPr>
        <w:t xml:space="preserve">2. </w:t>
      </w:r>
      <w:r w:rsidR="003E7C59" w:rsidRPr="008354C2">
        <w:rPr>
          <w:rFonts w:ascii="Times New Roman" w:eastAsia="Calibri" w:hAnsi="Times New Roman" w:cs="Times New Roman"/>
          <w:b/>
          <w:sz w:val="28"/>
          <w:szCs w:val="28"/>
        </w:rPr>
        <w:t>Về c</w:t>
      </w:r>
      <w:r w:rsidR="003736DB" w:rsidRPr="008354C2">
        <w:rPr>
          <w:rFonts w:ascii="Times New Roman" w:eastAsia="Calibri" w:hAnsi="Times New Roman" w:cs="Times New Roman"/>
          <w:b/>
          <w:sz w:val="28"/>
          <w:szCs w:val="28"/>
        </w:rPr>
        <w:t>ác chức danh trong doanh nghiệp</w:t>
      </w:r>
    </w:p>
    <w:p w:rsidR="003E7C59" w:rsidRPr="008354C2" w:rsidRDefault="003736DB" w:rsidP="003E7C59">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sz w:val="28"/>
          <w:szCs w:val="28"/>
        </w:rPr>
        <w:t>Theo các nguyên tắc, khuyến nghị của IAIS</w:t>
      </w:r>
      <w:r w:rsidRPr="008354C2">
        <w:rPr>
          <w:rFonts w:ascii="Times New Roman" w:eastAsia="Calibri" w:hAnsi="Times New Roman" w:cs="Times New Roman"/>
          <w:sz w:val="28"/>
          <w:szCs w:val="28"/>
          <w:vertAlign w:val="superscript"/>
        </w:rPr>
        <w:footnoteReference w:id="2"/>
      </w:r>
      <w:r w:rsidRPr="008354C2">
        <w:rPr>
          <w:rFonts w:ascii="Times New Roman" w:eastAsia="Calibri" w:hAnsi="Times New Roman" w:cs="Times New Roman"/>
          <w:sz w:val="28"/>
          <w:szCs w:val="28"/>
        </w:rPr>
        <w:t xml:space="preserve"> và OECD, có sự phân định các nhóm chức danh cơ cấu tổ chức quản trị DNBH theo vai trò, quyền hạn, chức năng nhiệm vụ </w:t>
      </w:r>
      <w:r w:rsidR="00577EAF" w:rsidRPr="008354C2">
        <w:rPr>
          <w:rFonts w:ascii="Times New Roman" w:eastAsia="Calibri" w:hAnsi="Times New Roman" w:cs="Times New Roman"/>
          <w:sz w:val="28"/>
          <w:szCs w:val="28"/>
        </w:rPr>
        <w:t>như sau: (i) HĐQT</w:t>
      </w:r>
      <w:r w:rsidRPr="008354C2">
        <w:rPr>
          <w:rFonts w:ascii="Times New Roman" w:eastAsia="Calibri" w:hAnsi="Times New Roman" w:cs="Times New Roman"/>
          <w:sz w:val="28"/>
          <w:szCs w:val="28"/>
        </w:rPr>
        <w:t xml:space="preserve">; (ii) Ban điều hành; (iii) Người đứng đầu/Trưởng các bộ phận kiểm soát nội bộ. </w:t>
      </w:r>
    </w:p>
    <w:p w:rsidR="003E7C59" w:rsidRPr="008354C2" w:rsidRDefault="003736DB" w:rsidP="003E7C59">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sz w:val="28"/>
          <w:szCs w:val="28"/>
        </w:rPr>
        <w:t>Theo ICP 5 – Tiêu chuẩn, điều kiện của các chức danh tại DNBH – tùy theo đặc thù của từng quốc gia để quy đị</w:t>
      </w:r>
      <w:r w:rsidR="003E7C59" w:rsidRPr="008354C2">
        <w:rPr>
          <w:rFonts w:ascii="Times New Roman" w:eastAsia="Calibri" w:hAnsi="Times New Roman" w:cs="Times New Roman"/>
          <w:sz w:val="28"/>
          <w:szCs w:val="28"/>
        </w:rPr>
        <w:t xml:space="preserve">nh </w:t>
      </w:r>
      <w:r w:rsidRPr="008354C2">
        <w:rPr>
          <w:rFonts w:ascii="Times New Roman" w:eastAsia="Calibri" w:hAnsi="Times New Roman" w:cs="Times New Roman"/>
          <w:sz w:val="28"/>
          <w:szCs w:val="28"/>
        </w:rPr>
        <w:t xml:space="preserve">các chức danh cụ thể tại DNBH cần phải đáp ứng các điều kiện về tiêu chuẩn, tuy </w:t>
      </w:r>
      <w:r w:rsidRPr="008354C2">
        <w:rPr>
          <w:rFonts w:ascii="Times New Roman" w:eastAsia="Calibri" w:hAnsi="Times New Roman" w:cs="Times New Roman"/>
          <w:sz w:val="28"/>
          <w:szCs w:val="28"/>
          <w:u w:val="single"/>
        </w:rPr>
        <w:t xml:space="preserve">nhiên ít nhất phải bao gồm các thành viên của HĐQT, Ban điều hành và Trưởng các bô phận kiểm soát nội bộ </w:t>
      </w:r>
      <w:r w:rsidRPr="008354C2">
        <w:rPr>
          <w:rFonts w:ascii="Times New Roman" w:eastAsia="Calibri" w:hAnsi="Times New Roman" w:cs="Times New Roman"/>
          <w:sz w:val="28"/>
          <w:szCs w:val="28"/>
        </w:rPr>
        <w:t>và các chủ đầu tư lớn phải luôn đảm bảo phù hợp để thực thi chức năng, nhiệm vụ. Theo đó, thành viên của HĐQT, Ban điều hành và Trưởng các bô phận kiểm soát nội bộ phải đảm bảo đủ tiêu chuẩn năng lực</w:t>
      </w:r>
      <w:r w:rsidR="00577EAF" w:rsidRPr="008354C2">
        <w:rPr>
          <w:rFonts w:ascii="Times New Roman" w:eastAsia="Calibri" w:hAnsi="Times New Roman" w:cs="Times New Roman"/>
          <w:sz w:val="28"/>
          <w:szCs w:val="28"/>
        </w:rPr>
        <w:t xml:space="preserve"> chuyên môn, kinh nghiệm </w:t>
      </w:r>
      <w:r w:rsidRPr="008354C2">
        <w:rPr>
          <w:rFonts w:ascii="Times New Roman" w:eastAsia="Calibri" w:hAnsi="Times New Roman" w:cs="Times New Roman"/>
          <w:sz w:val="28"/>
          <w:szCs w:val="28"/>
        </w:rPr>
        <w:t>và</w:t>
      </w:r>
      <w:r w:rsidR="00577EAF" w:rsidRPr="008354C2">
        <w:rPr>
          <w:rFonts w:ascii="Times New Roman" w:eastAsia="Calibri" w:hAnsi="Times New Roman" w:cs="Times New Roman"/>
          <w:sz w:val="28"/>
          <w:szCs w:val="28"/>
        </w:rPr>
        <w:t xml:space="preserve"> đảm bảo </w:t>
      </w:r>
      <w:r w:rsidRPr="008354C2">
        <w:rPr>
          <w:rFonts w:ascii="Times New Roman" w:eastAsia="Calibri" w:hAnsi="Times New Roman" w:cs="Times New Roman"/>
          <w:sz w:val="28"/>
          <w:szCs w:val="28"/>
        </w:rPr>
        <w:t xml:space="preserve">tính chính trực; các chủ đầu tư lớn phải đảm bảo năng lực tài chính và </w:t>
      </w:r>
      <w:r w:rsidR="006A500D" w:rsidRPr="008354C2">
        <w:rPr>
          <w:rFonts w:ascii="Times New Roman" w:eastAsia="Calibri" w:hAnsi="Times New Roman" w:cs="Times New Roman"/>
          <w:sz w:val="28"/>
          <w:szCs w:val="28"/>
        </w:rPr>
        <w:t xml:space="preserve">đảm bảo </w:t>
      </w:r>
      <w:r w:rsidRPr="008354C2">
        <w:rPr>
          <w:rFonts w:ascii="Times New Roman" w:eastAsia="Calibri" w:hAnsi="Times New Roman" w:cs="Times New Roman"/>
          <w:sz w:val="28"/>
          <w:szCs w:val="28"/>
        </w:rPr>
        <w:t xml:space="preserve">tính chính trực. </w:t>
      </w:r>
    </w:p>
    <w:p w:rsidR="003736DB" w:rsidRPr="008354C2" w:rsidRDefault="003736DB" w:rsidP="003E7C59">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sz w:val="28"/>
          <w:szCs w:val="28"/>
        </w:rPr>
        <w:t>Các nguyên tắc về quản trị DNBH của IAIS và OECD cũng đưa ra khuyến nghị về quyền hạn, nhiệm vụ của các nhóm chức danh trên như sau:</w:t>
      </w:r>
    </w:p>
    <w:p w:rsidR="003736DB" w:rsidRPr="008354C2" w:rsidRDefault="003736DB" w:rsidP="003736DB">
      <w:pPr>
        <w:spacing w:before="120" w:after="0"/>
        <w:ind w:firstLine="7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HĐQT bao gồm Chủ tị</w:t>
      </w:r>
      <w:r w:rsidR="00E84679" w:rsidRPr="008354C2">
        <w:rPr>
          <w:rFonts w:ascii="Times New Roman" w:eastAsia="Calibri" w:hAnsi="Times New Roman" w:cs="Times New Roman"/>
          <w:sz w:val="28"/>
          <w:szCs w:val="28"/>
        </w:rPr>
        <w:t>ch HĐQT, thành viên HĐQT</w:t>
      </w:r>
      <w:r w:rsidRPr="008354C2">
        <w:rPr>
          <w:rFonts w:ascii="Times New Roman" w:eastAsia="Calibri" w:hAnsi="Times New Roman" w:cs="Times New Roman"/>
          <w:sz w:val="28"/>
          <w:szCs w:val="28"/>
        </w:rPr>
        <w:t>. Về cơ bản, HĐQT là cơ quan quản trị cao nhất của DNBH (trừ trường hợp Đại hội cổ đông theo mô hình công ty cổ phần) chịu trách nhiệm hoạch định</w:t>
      </w:r>
      <w:r w:rsidR="006B426E" w:rsidRPr="008354C2">
        <w:rPr>
          <w:rFonts w:ascii="Times New Roman" w:eastAsia="Calibri" w:hAnsi="Times New Roman" w:cs="Times New Roman"/>
          <w:sz w:val="28"/>
          <w:szCs w:val="28"/>
        </w:rPr>
        <w:t>,</w:t>
      </w:r>
      <w:r w:rsidRPr="008354C2">
        <w:rPr>
          <w:rFonts w:ascii="Times New Roman" w:eastAsia="Calibri" w:hAnsi="Times New Roman" w:cs="Times New Roman"/>
          <w:sz w:val="28"/>
          <w:szCs w:val="28"/>
        </w:rPr>
        <w:t xml:space="preserve"> định hướng hoạt động, ban hành chính sách, thiết lập hệ thống quản trị </w:t>
      </w:r>
      <w:r w:rsidR="003E7C59" w:rsidRPr="008354C2">
        <w:rPr>
          <w:rFonts w:ascii="Times New Roman" w:eastAsia="Calibri" w:hAnsi="Times New Roman" w:cs="Times New Roman"/>
          <w:sz w:val="28"/>
          <w:szCs w:val="28"/>
        </w:rPr>
        <w:t>doanh</w:t>
      </w:r>
      <w:r w:rsidRPr="008354C2">
        <w:rPr>
          <w:rFonts w:ascii="Times New Roman" w:eastAsia="Calibri" w:hAnsi="Times New Roman" w:cs="Times New Roman"/>
          <w:sz w:val="28"/>
          <w:szCs w:val="28"/>
        </w:rPr>
        <w:t xml:space="preserve"> nghiệp và giám sát </w:t>
      </w:r>
      <w:r w:rsidR="003E7C59" w:rsidRPr="008354C2">
        <w:rPr>
          <w:rFonts w:ascii="Times New Roman" w:eastAsia="Calibri" w:hAnsi="Times New Roman" w:cs="Times New Roman"/>
          <w:sz w:val="28"/>
          <w:szCs w:val="28"/>
        </w:rPr>
        <w:t>hoạt</w:t>
      </w:r>
      <w:r w:rsidRPr="008354C2">
        <w:rPr>
          <w:rFonts w:ascii="Times New Roman" w:eastAsia="Calibri" w:hAnsi="Times New Roman" w:cs="Times New Roman"/>
          <w:sz w:val="28"/>
          <w:szCs w:val="28"/>
        </w:rPr>
        <w:t xml:space="preserve"> động của DNBH. </w:t>
      </w:r>
    </w:p>
    <w:p w:rsidR="003736DB" w:rsidRPr="008354C2" w:rsidRDefault="003736DB" w:rsidP="003736DB">
      <w:pPr>
        <w:spacing w:before="120" w:after="0"/>
        <w:ind w:firstLine="7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Ban điều hành bao gồm Tổng giám đốc, Phó tổng giám đốc và các chức danh quản lý cấp cao. Ban điều hành chịu sự giám sát của HĐQT; đề xuất HĐQT ban hành chiến lược, kế hoạch, chính sách hoạt động của DNBH; chỉ đ</w:t>
      </w:r>
      <w:r w:rsidR="006B426E" w:rsidRPr="008354C2">
        <w:rPr>
          <w:rFonts w:ascii="Times New Roman" w:eastAsia="Calibri" w:hAnsi="Times New Roman" w:cs="Times New Roman"/>
          <w:sz w:val="28"/>
          <w:szCs w:val="28"/>
        </w:rPr>
        <w:t>ạo</w:t>
      </w:r>
      <w:r w:rsidRPr="008354C2">
        <w:rPr>
          <w:rFonts w:ascii="Times New Roman" w:eastAsia="Calibri" w:hAnsi="Times New Roman" w:cs="Times New Roman"/>
          <w:sz w:val="28"/>
          <w:szCs w:val="28"/>
        </w:rPr>
        <w:t>, tổ chức triển khai thực hiện hoạt động hàng ngày của DNBH.</w:t>
      </w:r>
    </w:p>
    <w:p w:rsidR="003736DB" w:rsidRPr="008354C2" w:rsidRDefault="003736DB" w:rsidP="003736DB">
      <w:pPr>
        <w:spacing w:before="120" w:after="0"/>
        <w:ind w:firstLine="7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Người đứng đầu/Trưởng các bộ phận kiểm soát nội bộ (bao gồm bộ phận quản lý rủi ro, bộ phận tuân thủ, bộ phận tính toán bảo hiểm và bộ phận kiểm toán nội bộ).  Các bộ phận kiểm soát nội bộ được thiết lập nhằm thực hiện và đảm bảo việc tuân thủ các chính sách, quy trình về quản trị, kiểm lý rủi ro, kiểm sót nội bộ, tuân thủ và báo cáo tài chính.</w:t>
      </w:r>
    </w:p>
    <w:p w:rsidR="006B426E" w:rsidRPr="008354C2" w:rsidRDefault="003736DB" w:rsidP="006B426E">
      <w:pPr>
        <w:spacing w:before="120" w:after="0"/>
        <w:rPr>
          <w:rFonts w:ascii="Times New Roman" w:eastAsia="Calibri" w:hAnsi="Times New Roman" w:cs="Times New Roman"/>
          <w:b/>
          <w:sz w:val="28"/>
          <w:szCs w:val="28"/>
        </w:rPr>
      </w:pPr>
      <w:r w:rsidRPr="008354C2">
        <w:rPr>
          <w:rFonts w:ascii="Times New Roman" w:eastAsia="Calibri" w:hAnsi="Times New Roman" w:cs="Times New Roman"/>
          <w:b/>
          <w:sz w:val="28"/>
          <w:szCs w:val="28"/>
        </w:rPr>
        <w:t>3.</w:t>
      </w:r>
      <w:r w:rsidR="006B426E" w:rsidRPr="008354C2">
        <w:rPr>
          <w:rFonts w:ascii="Times New Roman" w:eastAsia="Calibri" w:hAnsi="Times New Roman" w:cs="Times New Roman"/>
          <w:b/>
          <w:sz w:val="28"/>
          <w:szCs w:val="28"/>
        </w:rPr>
        <w:t>3.</w:t>
      </w:r>
      <w:r w:rsidRPr="008354C2">
        <w:rPr>
          <w:rFonts w:ascii="Times New Roman" w:eastAsia="Calibri" w:hAnsi="Times New Roman" w:cs="Times New Roman"/>
          <w:b/>
          <w:sz w:val="28"/>
          <w:szCs w:val="28"/>
        </w:rPr>
        <w:t xml:space="preserve"> Nguyên tắc phân công, đảm nhiệm chức vụ</w:t>
      </w:r>
    </w:p>
    <w:p w:rsidR="00BC6591" w:rsidRPr="008354C2" w:rsidRDefault="003736DB" w:rsidP="00BC6591">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sz w:val="28"/>
          <w:szCs w:val="28"/>
        </w:rPr>
        <w:t>Quy định về việc phân công đảm nhiệm chức vụ được xây dựng trên cơ sở nhằm đảm bảo hạn chế tối đa mâu thuẫn lợi ích và tăng cường hiệu quả quản trị doanh nghiệp, góp phần thực hiện hiệu quả chiến lược, kế hoạch và sứ mệnh của DNBH. Kinh nghiệm quốc tế về nguyên tắc phân công, đảm nhiệm chức vụ cơ bản dựa trên các các nguyên tắc, khuyến nghị của OECD, IAIS liên quan đến quản trị doanh nghiệp, quản lý rủi ro và kiểm soát nội bộ</w:t>
      </w:r>
      <w:r w:rsidRPr="008354C2">
        <w:rPr>
          <w:rFonts w:ascii="Times New Roman" w:eastAsia="Calibri" w:hAnsi="Times New Roman" w:cs="Times New Roman"/>
          <w:sz w:val="28"/>
          <w:szCs w:val="28"/>
          <w:vertAlign w:val="superscript"/>
        </w:rPr>
        <w:footnoteReference w:id="3"/>
      </w:r>
      <w:r w:rsidRPr="008354C2">
        <w:rPr>
          <w:rFonts w:ascii="Times New Roman" w:eastAsia="Calibri" w:hAnsi="Times New Roman" w:cs="Times New Roman"/>
          <w:sz w:val="28"/>
          <w:szCs w:val="28"/>
        </w:rPr>
        <w:t xml:space="preserve"> .</w:t>
      </w:r>
    </w:p>
    <w:p w:rsidR="00095122" w:rsidRPr="008354C2" w:rsidRDefault="003736DB" w:rsidP="0009512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sz w:val="28"/>
          <w:szCs w:val="28"/>
        </w:rPr>
        <w:t>Theo IC</w:t>
      </w:r>
      <w:r w:rsidR="00BC6591" w:rsidRPr="008354C2">
        <w:rPr>
          <w:rFonts w:ascii="Times New Roman" w:eastAsia="Calibri" w:hAnsi="Times New Roman" w:cs="Times New Roman"/>
          <w:sz w:val="28"/>
          <w:szCs w:val="28"/>
        </w:rPr>
        <w:t>P</w:t>
      </w:r>
      <w:r w:rsidRPr="008354C2">
        <w:rPr>
          <w:rFonts w:ascii="Times New Roman" w:eastAsia="Calibri" w:hAnsi="Times New Roman" w:cs="Times New Roman"/>
          <w:sz w:val="28"/>
          <w:szCs w:val="28"/>
        </w:rPr>
        <w:t xml:space="preserve"> 8 – Quản lý rủi ro và Kiểm soát nội bộ:</w:t>
      </w:r>
    </w:p>
    <w:p w:rsidR="003736DB" w:rsidRPr="008354C2" w:rsidRDefault="003736DB" w:rsidP="00095122">
      <w:pPr>
        <w:spacing w:before="120" w:after="0"/>
        <w:jc w:val="both"/>
        <w:rPr>
          <w:rFonts w:ascii="Times New Roman" w:eastAsia="Calibri" w:hAnsi="Times New Roman" w:cs="Times New Roman"/>
          <w:b/>
          <w:sz w:val="28"/>
          <w:szCs w:val="28"/>
        </w:rPr>
      </w:pPr>
      <w:r w:rsidRPr="008354C2">
        <w:rPr>
          <w:rFonts w:ascii="Times New Roman" w:eastAsia="Calibri" w:hAnsi="Times New Roman" w:cs="Times New Roman"/>
          <w:sz w:val="28"/>
          <w:szCs w:val="28"/>
        </w:rPr>
        <w:t>- Liên quan đến “</w:t>
      </w:r>
      <w:r w:rsidRPr="008354C2">
        <w:rPr>
          <w:rFonts w:ascii="Times New Roman" w:eastAsia="Calibri" w:hAnsi="Times New Roman" w:cs="Times New Roman"/>
          <w:i/>
          <w:sz w:val="28"/>
          <w:szCs w:val="28"/>
        </w:rPr>
        <w:t>Thẩm quyền và tính độc lập của các bộ phận kiểm soát”</w:t>
      </w:r>
      <w:r w:rsidR="00E84679" w:rsidRPr="008354C2">
        <w:rPr>
          <w:rFonts w:ascii="Times New Roman" w:eastAsia="Calibri" w:hAnsi="Times New Roman" w:cs="Times New Roman"/>
          <w:i/>
          <w:sz w:val="28"/>
          <w:szCs w:val="28"/>
        </w:rPr>
        <w:t>:</w:t>
      </w:r>
    </w:p>
    <w:p w:rsidR="003736DB" w:rsidRPr="008354C2" w:rsidRDefault="003736DB" w:rsidP="003736DB">
      <w:pPr>
        <w:spacing w:before="120" w:after="0"/>
        <w:ind w:left="1418" w:hanging="709"/>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8.3.6 </w:t>
      </w:r>
      <w:r w:rsidRPr="008354C2">
        <w:rPr>
          <w:rFonts w:ascii="Times New Roman" w:eastAsia="Calibri" w:hAnsi="Times New Roman" w:cs="Times New Roman"/>
          <w:sz w:val="28"/>
          <w:szCs w:val="28"/>
        </w:rPr>
        <w:tab/>
        <w:t xml:space="preserve">HĐQT phải phê duyệt thẩm quyền và trách nhiệm của mỗi bộ phận kiểm soát để cho phép mỗi bộ phận kiểm soát có thẩm quyền vả </w:t>
      </w:r>
      <w:r w:rsidRPr="008354C2">
        <w:rPr>
          <w:rFonts w:ascii="Times New Roman" w:eastAsia="Calibri" w:hAnsi="Times New Roman" w:cs="Times New Roman"/>
          <w:sz w:val="28"/>
          <w:szCs w:val="28"/>
          <w:u w:val="single"/>
        </w:rPr>
        <w:t>tính độc lập cần thiết</w:t>
      </w:r>
      <w:r w:rsidRPr="008354C2">
        <w:rPr>
          <w:rFonts w:ascii="Times New Roman" w:eastAsia="Calibri" w:hAnsi="Times New Roman" w:cs="Times New Roman"/>
          <w:sz w:val="28"/>
          <w:szCs w:val="28"/>
        </w:rPr>
        <w:t xml:space="preserve"> để phát huy hiệu quả.</w:t>
      </w:r>
    </w:p>
    <w:p w:rsidR="003736DB" w:rsidRPr="008354C2" w:rsidRDefault="003736DB" w:rsidP="003736DB">
      <w:pPr>
        <w:spacing w:before="120" w:after="0"/>
        <w:ind w:left="1418" w:hanging="709"/>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8.3.7 </w:t>
      </w:r>
      <w:r w:rsidRPr="008354C2">
        <w:rPr>
          <w:rFonts w:ascii="Times New Roman" w:eastAsia="Calibri" w:hAnsi="Times New Roman" w:cs="Times New Roman"/>
          <w:sz w:val="28"/>
          <w:szCs w:val="28"/>
        </w:rPr>
        <w:tab/>
        <w:t>Thẩm quyền và trách nhiêm của mỗi bộ phận kiểm soát phải được quy định bằng văn bản và là một phần của hoặc được tham chiếu trong văn bản quản trị của DNBH. Trưởng mỗi bộ phận kiểm soát phải đánh giá đinh kỳ văn bản này và đưa ra các đề xuất thay đổi cho Ban điều hành và HĐQT phê duyêt, nếu cần.</w:t>
      </w:r>
    </w:p>
    <w:p w:rsidR="003736DB" w:rsidRPr="008354C2" w:rsidRDefault="003736DB" w:rsidP="003736DB">
      <w:pPr>
        <w:spacing w:before="120" w:after="0"/>
        <w:ind w:left="1418" w:hanging="709"/>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8.3.8 </w:t>
      </w:r>
      <w:r w:rsidRPr="008354C2">
        <w:rPr>
          <w:rFonts w:ascii="Times New Roman" w:eastAsia="Calibri" w:hAnsi="Times New Roman" w:cs="Times New Roman"/>
          <w:sz w:val="28"/>
          <w:szCs w:val="28"/>
        </w:rPr>
        <w:tab/>
        <w:t xml:space="preserve">Một bộ phận kiểm soát phải được dẫn dắt bởi một người có cấp độ thẩm quyền phù hợp. </w:t>
      </w:r>
      <w:r w:rsidRPr="008354C2">
        <w:rPr>
          <w:rFonts w:ascii="Times New Roman" w:eastAsia="Calibri" w:hAnsi="Times New Roman" w:cs="Times New Roman"/>
          <w:sz w:val="28"/>
          <w:szCs w:val="28"/>
          <w:u w:val="single"/>
        </w:rPr>
        <w:t>Trưởng các bộ phận kiểm soát không được kiêm nhiệm các chức danh liên quan đến hoạt động kinh doanh.</w:t>
      </w:r>
    </w:p>
    <w:p w:rsidR="003736DB" w:rsidRPr="008354C2" w:rsidRDefault="003736DB" w:rsidP="003736DB">
      <w:pPr>
        <w:spacing w:before="120" w:after="0"/>
        <w:ind w:left="1418" w:hanging="709"/>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8.3.9 </w:t>
      </w:r>
      <w:r w:rsidRPr="008354C2">
        <w:rPr>
          <w:rFonts w:ascii="Times New Roman" w:eastAsia="Calibri" w:hAnsi="Times New Roman" w:cs="Times New Roman"/>
          <w:sz w:val="28"/>
          <w:szCs w:val="28"/>
        </w:rPr>
        <w:tab/>
        <w:t>DNBH phải tổ chức mỗi bộ phận kiểm soát và tuyến báo cáo đi kèm vào cơ cấu tổ chức của DNBH theo cách cho phép bộ phận này hoạt động và thưc hiện các vai trò của mình một cách hiệu quả. Điều này bao gồm quyền báo cáo trực tiếp với HĐQT hoặc ủy ban liên quan của HĐQT.</w:t>
      </w:r>
    </w:p>
    <w:p w:rsidR="003736DB" w:rsidRPr="008354C2" w:rsidRDefault="003736DB" w:rsidP="003736DB">
      <w:pPr>
        <w:spacing w:before="120" w:after="0"/>
        <w:ind w:left="1418" w:hanging="709"/>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8.3.10</w:t>
      </w:r>
      <w:r w:rsidR="00BC6591" w:rsidRPr="008354C2">
        <w:rPr>
          <w:rFonts w:ascii="Times New Roman" w:eastAsia="Calibri" w:hAnsi="Times New Roman" w:cs="Times New Roman"/>
          <w:sz w:val="28"/>
          <w:szCs w:val="28"/>
        </w:rPr>
        <w:t xml:space="preserve">. </w:t>
      </w:r>
      <w:r w:rsidRPr="008354C2">
        <w:rPr>
          <w:rFonts w:ascii="Times New Roman" w:eastAsia="Calibri" w:hAnsi="Times New Roman" w:cs="Times New Roman"/>
          <w:sz w:val="28"/>
          <w:szCs w:val="28"/>
        </w:rPr>
        <w:t xml:space="preserve"> Mặc dù có thể kết hợp một số bộ phận kiểm soát nhất định, </w:t>
      </w:r>
      <w:r w:rsidRPr="008354C2">
        <w:rPr>
          <w:rFonts w:ascii="Times New Roman" w:eastAsia="Calibri" w:hAnsi="Times New Roman" w:cs="Times New Roman"/>
          <w:sz w:val="28"/>
          <w:szCs w:val="28"/>
          <w:u w:val="single"/>
        </w:rPr>
        <w:t>một bộ phận kiểm soát phải đủ độc lập với Ban điều hành và các bộ phận chức năng khác</w:t>
      </w:r>
      <w:r w:rsidRPr="008354C2">
        <w:rPr>
          <w:rFonts w:ascii="Times New Roman" w:eastAsia="Calibri" w:hAnsi="Times New Roman" w:cs="Times New Roman"/>
          <w:sz w:val="28"/>
          <w:szCs w:val="28"/>
        </w:rPr>
        <w:t xml:space="preserve"> để cho phép nhân viên của mình:</w:t>
      </w:r>
    </w:p>
    <w:p w:rsidR="003736DB" w:rsidRPr="008354C2" w:rsidRDefault="003736DB" w:rsidP="00D648A1">
      <w:pPr>
        <w:numPr>
          <w:ilvl w:val="0"/>
          <w:numId w:val="4"/>
        </w:numPr>
        <w:spacing w:before="120" w:after="0"/>
        <w:ind w:left="1843" w:hanging="425"/>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Là một bộ phận thực thi vai trò kiểm tra và cân đối của DNBH;</w:t>
      </w:r>
    </w:p>
    <w:p w:rsidR="003736DB" w:rsidRPr="008354C2" w:rsidRDefault="003736DB" w:rsidP="00D648A1">
      <w:pPr>
        <w:numPr>
          <w:ilvl w:val="0"/>
          <w:numId w:val="4"/>
        </w:numPr>
        <w:spacing w:before="120" w:after="0"/>
        <w:ind w:left="1843" w:hanging="425"/>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Cung cấp ý kiến tham mưu khách quan về các chiến lược, vấn đề và các vi phạm tiềm ẩn liên quan đến các lĩnh vực trách nhiệm của họ và</w:t>
      </w:r>
    </w:p>
    <w:p w:rsidR="003736DB" w:rsidRPr="008354C2" w:rsidRDefault="003736DB" w:rsidP="00D648A1">
      <w:pPr>
        <w:numPr>
          <w:ilvl w:val="0"/>
          <w:numId w:val="4"/>
        </w:numPr>
        <w:spacing w:before="120" w:after="0"/>
        <w:ind w:left="1843" w:hanging="425"/>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Thực hiện hoặc giám sát thực hiện các biện pháp khắc phục nếu cần.</w:t>
      </w:r>
    </w:p>
    <w:p w:rsidR="003736DB" w:rsidRPr="008354C2" w:rsidRDefault="003736DB" w:rsidP="003736DB">
      <w:pPr>
        <w:spacing w:before="120"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Trong đó, vai trò, vị trí của các bộ phận  kiểm soát cũng được khuyến nghị cụ thể như sau:</w:t>
      </w:r>
    </w:p>
    <w:p w:rsidR="003736DB" w:rsidRPr="008354C2" w:rsidRDefault="003736DB" w:rsidP="00095122">
      <w:pPr>
        <w:spacing w:before="120" w:after="0"/>
        <w:ind w:firstLine="720"/>
        <w:jc w:val="both"/>
        <w:rPr>
          <w:rFonts w:ascii="Times New Roman" w:eastAsia="Calibri" w:hAnsi="Times New Roman" w:cs="Times New Roman"/>
          <w:sz w:val="28"/>
          <w:szCs w:val="28"/>
        </w:rPr>
      </w:pPr>
      <w:r w:rsidRPr="008354C2">
        <w:rPr>
          <w:rFonts w:ascii="Times New Roman" w:eastAsia="Calibri" w:hAnsi="Times New Roman" w:cs="Times New Roman"/>
          <w:i/>
          <w:sz w:val="28"/>
          <w:szCs w:val="28"/>
        </w:rPr>
        <w:t xml:space="preserve">+ Bộ phận quản lý rủi ro: </w:t>
      </w:r>
      <w:r w:rsidRPr="008354C2">
        <w:rPr>
          <w:rFonts w:ascii="Times New Roman" w:eastAsia="Calibri" w:hAnsi="Times New Roman" w:cs="Times New Roman"/>
          <w:sz w:val="28"/>
          <w:szCs w:val="28"/>
        </w:rPr>
        <w:t>DNBH phải có một bộ phận quản lý rủi ro hiệu quả có thể hỗ trợ DNBH trong nhận diện, đánh giá, giám sát, giảm thiểu và báo cáo các rủi ro chính kịp thời; và thúc đẩy và duy trì một văn hóa quản lý rủi ro hiệu quả.</w:t>
      </w:r>
    </w:p>
    <w:p w:rsidR="003736DB" w:rsidRPr="008354C2" w:rsidRDefault="003736DB" w:rsidP="00095122">
      <w:pPr>
        <w:spacing w:before="120" w:after="0"/>
        <w:ind w:firstLine="7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 </w:t>
      </w:r>
      <w:r w:rsidR="00095122" w:rsidRPr="008354C2">
        <w:rPr>
          <w:rFonts w:ascii="Times New Roman" w:eastAsia="Calibri" w:hAnsi="Times New Roman" w:cs="Times New Roman"/>
          <w:sz w:val="28"/>
          <w:szCs w:val="28"/>
        </w:rPr>
        <w:t xml:space="preserve">+ </w:t>
      </w:r>
      <w:r w:rsidRPr="008354C2">
        <w:rPr>
          <w:rFonts w:ascii="Times New Roman" w:eastAsia="Calibri" w:hAnsi="Times New Roman" w:cs="Times New Roman"/>
          <w:i/>
          <w:sz w:val="28"/>
          <w:szCs w:val="28"/>
        </w:rPr>
        <w:t xml:space="preserve">Bộ phận tuân thủ: </w:t>
      </w:r>
      <w:r w:rsidRPr="008354C2">
        <w:rPr>
          <w:rFonts w:ascii="Times New Roman" w:eastAsia="Calibri" w:hAnsi="Times New Roman" w:cs="Times New Roman"/>
          <w:sz w:val="28"/>
          <w:szCs w:val="28"/>
        </w:rPr>
        <w:t>DNBH phải có một bộ phận pháp chế hiệu quả có thể hỗ trợ DNBH thực hiện tuân thủ quy định pháp luật, yêu cầu của cơ quan quản lý, giám sát; và thúc đẩy và duy trì văn hóa tuân thủ.</w:t>
      </w:r>
    </w:p>
    <w:p w:rsidR="003736DB" w:rsidRPr="008354C2" w:rsidRDefault="003736DB" w:rsidP="00AF6FA1">
      <w:pPr>
        <w:spacing w:after="0"/>
        <w:ind w:firstLine="7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 </w:t>
      </w:r>
      <w:r w:rsidRPr="008354C2">
        <w:rPr>
          <w:rFonts w:ascii="Times New Roman" w:eastAsia="Calibri" w:hAnsi="Times New Roman" w:cs="Times New Roman"/>
          <w:i/>
          <w:sz w:val="28"/>
          <w:szCs w:val="28"/>
        </w:rPr>
        <w:t xml:space="preserve">Bộ phận tính toán bảo hiểm: </w:t>
      </w:r>
      <w:r w:rsidRPr="008354C2">
        <w:rPr>
          <w:rFonts w:ascii="Times New Roman" w:eastAsia="Calibri" w:hAnsi="Times New Roman" w:cs="Times New Roman"/>
          <w:sz w:val="28"/>
          <w:szCs w:val="28"/>
        </w:rPr>
        <w:t>DNBH phải có một bộ phận tính toán bảo hiểm hiệu quả có khả năng đánh giá và cung cấp tư vấn liên quan tối thiểu đến dự phòng, phí bảo hiểm, an toàn vốn, tái bảo hiểm và tuân thủ các yêu cầu luật định liên quan.</w:t>
      </w:r>
    </w:p>
    <w:p w:rsidR="003736DB" w:rsidRPr="008354C2" w:rsidRDefault="003736DB" w:rsidP="00AF6FA1">
      <w:pPr>
        <w:spacing w:after="0"/>
        <w:ind w:firstLine="7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 </w:t>
      </w:r>
      <w:r w:rsidRPr="008354C2">
        <w:rPr>
          <w:rFonts w:ascii="Times New Roman" w:eastAsia="Calibri" w:hAnsi="Times New Roman" w:cs="Times New Roman"/>
          <w:i/>
          <w:sz w:val="28"/>
          <w:szCs w:val="28"/>
        </w:rPr>
        <w:t xml:space="preserve">Bộ phận kiểm toán nội bộ: </w:t>
      </w:r>
      <w:r w:rsidRPr="008354C2">
        <w:rPr>
          <w:rFonts w:ascii="Times New Roman" w:eastAsia="Calibri" w:hAnsi="Times New Roman" w:cs="Times New Roman"/>
          <w:sz w:val="28"/>
          <w:szCs w:val="28"/>
        </w:rPr>
        <w:t>DNBH phải có một bộ phận kiểm toán nội bộ hiệu quả có khả năng cung cấp cho HĐQT sự bảo đảm độc lập liên quan đến chất lượng và hiệu quả của khung quản trị doanh nghiệ</w:t>
      </w:r>
      <w:r w:rsidR="006F50E5" w:rsidRPr="008354C2">
        <w:rPr>
          <w:rFonts w:ascii="Times New Roman" w:eastAsia="Calibri" w:hAnsi="Times New Roman" w:cs="Times New Roman"/>
          <w:sz w:val="28"/>
          <w:szCs w:val="28"/>
        </w:rPr>
        <w:t xml:space="preserve">p. </w:t>
      </w:r>
      <w:r w:rsidRPr="008354C2">
        <w:rPr>
          <w:rFonts w:ascii="Times New Roman" w:eastAsia="Calibri" w:hAnsi="Times New Roman" w:cs="Times New Roman"/>
          <w:sz w:val="28"/>
          <w:szCs w:val="28"/>
        </w:rPr>
        <w:t>Đây là bộ phận thực hiện vai trò là lớp phòng vệ cuối cùng theo Mô hình 3 lớp phòng v</w:t>
      </w:r>
      <w:r w:rsidR="006F50E5" w:rsidRPr="008354C2">
        <w:rPr>
          <w:rFonts w:ascii="Times New Roman" w:eastAsia="Calibri" w:hAnsi="Times New Roman" w:cs="Times New Roman"/>
          <w:sz w:val="28"/>
          <w:szCs w:val="28"/>
        </w:rPr>
        <w:t>ệ</w:t>
      </w:r>
      <w:r w:rsidRPr="008354C2">
        <w:rPr>
          <w:rFonts w:ascii="Times New Roman" w:eastAsia="Calibri" w:hAnsi="Times New Roman" w:cs="Times New Roman"/>
          <w:sz w:val="28"/>
          <w:szCs w:val="28"/>
        </w:rPr>
        <w:t xml:space="preserve"> do Tổ chức Kiểm toán nội bộ (IIA) xây dựn</w:t>
      </w:r>
      <w:r w:rsidR="006F50E5" w:rsidRPr="008354C2">
        <w:rPr>
          <w:rFonts w:ascii="Times New Roman" w:eastAsia="Calibri" w:hAnsi="Times New Roman" w:cs="Times New Roman"/>
          <w:sz w:val="28"/>
          <w:szCs w:val="28"/>
        </w:rPr>
        <w:t>g</w:t>
      </w:r>
      <w:r w:rsidRPr="008354C2">
        <w:rPr>
          <w:rFonts w:ascii="Times New Roman" w:eastAsia="Calibri" w:hAnsi="Times New Roman" w:cs="Times New Roman"/>
          <w:sz w:val="28"/>
          <w:szCs w:val="28"/>
        </w:rPr>
        <w:t>. Do đó thẩm quyền đặc thù và yêu cầu cao nhất về tính độc lập trong giải quyết công việc, cụ thể:</w:t>
      </w:r>
    </w:p>
    <w:p w:rsidR="003736DB" w:rsidRPr="008354C2" w:rsidRDefault="003736DB" w:rsidP="00AF6FA1">
      <w:pPr>
        <w:pStyle w:val="ListParagraph"/>
        <w:numPr>
          <w:ilvl w:val="0"/>
          <w:numId w:val="5"/>
        </w:numPr>
        <w:spacing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 xml:space="preserve">Để giúp đảm bảo tính khách quan, </w:t>
      </w:r>
      <w:r w:rsidRPr="008354C2">
        <w:rPr>
          <w:rFonts w:ascii="Times New Roman" w:eastAsia="Calibri" w:hAnsi="Times New Roman" w:cs="Times New Roman"/>
          <w:sz w:val="28"/>
          <w:szCs w:val="28"/>
          <w:u w:val="single"/>
        </w:rPr>
        <w:t>Bộ phận kiểm toán nội bộ độc lập với chức năng quản lý và các bộ phận kiểm soát khác và không tham gia vào hoạt động kinh doanh. Trách nhiệm cuối cùng của Bộ phận kiểm toán nội bộ là HĐQT, không phải Ban điều hành</w:t>
      </w:r>
      <w:r w:rsidRPr="008354C2">
        <w:rPr>
          <w:rFonts w:ascii="Times New Roman" w:eastAsia="Calibri" w:hAnsi="Times New Roman" w:cs="Times New Roman"/>
          <w:sz w:val="28"/>
          <w:szCs w:val="28"/>
        </w:rPr>
        <w:t xml:space="preserve">. </w:t>
      </w:r>
    </w:p>
    <w:p w:rsidR="003736DB" w:rsidRPr="008354C2" w:rsidRDefault="003736DB" w:rsidP="00AF6FA1">
      <w:pPr>
        <w:pStyle w:val="ListParagraph"/>
        <w:numPr>
          <w:ilvl w:val="0"/>
          <w:numId w:val="5"/>
        </w:numPr>
        <w:spacing w:after="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u w:val="single"/>
        </w:rPr>
        <w:t>Để giúp đảm bảo tính độc lập và khách quan</w:t>
      </w:r>
      <w:r w:rsidRPr="008354C2">
        <w:rPr>
          <w:rFonts w:ascii="Times New Roman" w:eastAsia="Calibri" w:hAnsi="Times New Roman" w:cs="Times New Roman"/>
          <w:sz w:val="28"/>
          <w:szCs w:val="28"/>
        </w:rPr>
        <w:t>, Bộ phận kiểm toán nội bộ phải được miễn các điều kiện đe dọa khả năng thực hiện trách nhiệm của mình một cách độc lập. Khi thực hiện nhiệm vụ, Bộ phận kiểm toán nội bộ đưa ra các nhận định độc lập. Nếu cần, Bộ phận kiểm toán nội bộ phải xem xét nhu cầu bổ sung đánh giá của mình bằng chuyên môn bên thứ ba để đưa ra các quyết định khách quan và độc lậ</w:t>
      </w:r>
      <w:r w:rsidR="00A16A86" w:rsidRPr="008354C2">
        <w:rPr>
          <w:rFonts w:ascii="Times New Roman" w:eastAsia="Calibri" w:hAnsi="Times New Roman" w:cs="Times New Roman"/>
          <w:sz w:val="28"/>
          <w:szCs w:val="28"/>
        </w:rPr>
        <w:t>p</w:t>
      </w:r>
      <w:r w:rsidRPr="008354C2">
        <w:rPr>
          <w:rFonts w:ascii="Times New Roman" w:eastAsia="Calibri" w:hAnsi="Times New Roman" w:cs="Times New Roman"/>
          <w:sz w:val="28"/>
          <w:szCs w:val="28"/>
        </w:rPr>
        <w:t>.</w:t>
      </w:r>
    </w:p>
    <w:p w:rsidR="00DF282C" w:rsidRPr="008354C2" w:rsidRDefault="00DF282C" w:rsidP="00AF6FA1">
      <w:pPr>
        <w:spacing w:after="0"/>
        <w:jc w:val="center"/>
        <w:rPr>
          <w:rFonts w:ascii="Times New Roman" w:eastAsia="Calibri" w:hAnsi="Times New Roman" w:cs="Times New Roman"/>
          <w:b/>
          <w:sz w:val="28"/>
          <w:szCs w:val="28"/>
        </w:rPr>
      </w:pPr>
    </w:p>
    <w:p w:rsidR="00DF282C" w:rsidRDefault="00DF282C" w:rsidP="00AF6FA1">
      <w:pPr>
        <w:spacing w:after="0"/>
        <w:jc w:val="center"/>
        <w:rPr>
          <w:rFonts w:ascii="Times New Roman" w:eastAsia="Calibri" w:hAnsi="Times New Roman" w:cs="Times New Roman"/>
          <w:b/>
          <w:sz w:val="28"/>
          <w:szCs w:val="28"/>
        </w:rPr>
      </w:pPr>
    </w:p>
    <w:p w:rsidR="005F2600" w:rsidRDefault="005F2600" w:rsidP="00AF6FA1">
      <w:pPr>
        <w:spacing w:after="0"/>
        <w:jc w:val="center"/>
        <w:rPr>
          <w:rFonts w:ascii="Times New Roman" w:eastAsia="Calibri" w:hAnsi="Times New Roman" w:cs="Times New Roman"/>
          <w:b/>
          <w:sz w:val="28"/>
          <w:szCs w:val="28"/>
        </w:rPr>
      </w:pPr>
    </w:p>
    <w:p w:rsidR="005F2600" w:rsidRDefault="005F2600" w:rsidP="00AF6FA1">
      <w:pPr>
        <w:spacing w:after="0"/>
        <w:jc w:val="center"/>
        <w:rPr>
          <w:rFonts w:ascii="Times New Roman" w:eastAsia="Calibri" w:hAnsi="Times New Roman" w:cs="Times New Roman"/>
          <w:b/>
          <w:sz w:val="28"/>
          <w:szCs w:val="28"/>
        </w:rPr>
      </w:pPr>
    </w:p>
    <w:p w:rsidR="005F2600" w:rsidRDefault="005F2600" w:rsidP="00AF6FA1">
      <w:pPr>
        <w:spacing w:after="0"/>
        <w:jc w:val="center"/>
        <w:rPr>
          <w:rFonts w:ascii="Times New Roman" w:eastAsia="Calibri" w:hAnsi="Times New Roman" w:cs="Times New Roman"/>
          <w:b/>
          <w:sz w:val="28"/>
          <w:szCs w:val="28"/>
        </w:rPr>
      </w:pPr>
    </w:p>
    <w:p w:rsidR="005F2600" w:rsidRDefault="005F2600" w:rsidP="00AF6FA1">
      <w:pPr>
        <w:spacing w:after="0"/>
        <w:jc w:val="center"/>
        <w:rPr>
          <w:rFonts w:ascii="Times New Roman" w:eastAsia="Calibri" w:hAnsi="Times New Roman" w:cs="Times New Roman"/>
          <w:b/>
          <w:sz w:val="28"/>
          <w:szCs w:val="28"/>
        </w:rPr>
      </w:pPr>
    </w:p>
    <w:p w:rsidR="005F2600" w:rsidRPr="008354C2" w:rsidRDefault="005F2600" w:rsidP="00AF6FA1">
      <w:pPr>
        <w:spacing w:after="0"/>
        <w:jc w:val="center"/>
        <w:rPr>
          <w:rFonts w:ascii="Times New Roman" w:eastAsia="Calibri" w:hAnsi="Times New Roman" w:cs="Times New Roman"/>
          <w:b/>
          <w:sz w:val="28"/>
          <w:szCs w:val="28"/>
        </w:rPr>
      </w:pPr>
    </w:p>
    <w:p w:rsidR="00DF282C" w:rsidRPr="008354C2" w:rsidRDefault="00DF282C" w:rsidP="00AF6FA1">
      <w:pPr>
        <w:spacing w:after="0"/>
        <w:jc w:val="center"/>
        <w:rPr>
          <w:rFonts w:ascii="Times New Roman" w:eastAsia="Calibri" w:hAnsi="Times New Roman" w:cs="Times New Roman"/>
          <w:b/>
          <w:sz w:val="28"/>
          <w:szCs w:val="28"/>
        </w:rPr>
      </w:pPr>
    </w:p>
    <w:p w:rsidR="00DF282C" w:rsidRPr="008354C2" w:rsidRDefault="00DF282C" w:rsidP="00AF6FA1">
      <w:pPr>
        <w:spacing w:after="0"/>
        <w:jc w:val="center"/>
        <w:rPr>
          <w:rFonts w:ascii="Times New Roman" w:eastAsia="Calibri" w:hAnsi="Times New Roman" w:cs="Times New Roman"/>
          <w:b/>
          <w:sz w:val="28"/>
          <w:szCs w:val="28"/>
        </w:rPr>
      </w:pPr>
    </w:p>
    <w:p w:rsidR="00A16A86" w:rsidRPr="008354C2" w:rsidRDefault="00A16A86" w:rsidP="00AF6FA1">
      <w:pPr>
        <w:spacing w:after="0"/>
        <w:jc w:val="center"/>
        <w:rPr>
          <w:rFonts w:ascii="Times New Roman" w:eastAsia="Calibri" w:hAnsi="Times New Roman" w:cs="Times New Roman"/>
          <w:b/>
          <w:sz w:val="28"/>
          <w:szCs w:val="28"/>
        </w:rPr>
      </w:pPr>
      <w:r w:rsidRPr="008354C2">
        <w:rPr>
          <w:rFonts w:ascii="Times New Roman" w:eastAsia="Calibri" w:hAnsi="Times New Roman" w:cs="Times New Roman"/>
          <w:b/>
          <w:sz w:val="28"/>
          <w:szCs w:val="28"/>
        </w:rPr>
        <w:t xml:space="preserve">Mô hình ba lớp phòng vệ </w:t>
      </w:r>
    </w:p>
    <w:p w:rsidR="00A16A86" w:rsidRPr="008354C2" w:rsidRDefault="00A16A86" w:rsidP="00A16A86">
      <w:pPr>
        <w:spacing w:after="0"/>
        <w:jc w:val="center"/>
        <w:rPr>
          <w:rFonts w:ascii="Times New Roman" w:eastAsia="Calibri" w:hAnsi="Times New Roman" w:cs="Times New Roman"/>
          <w:b/>
          <w:sz w:val="28"/>
          <w:szCs w:val="28"/>
        </w:rPr>
      </w:pPr>
      <w:r w:rsidRPr="008354C2">
        <w:rPr>
          <w:rFonts w:ascii="Times New Roman" w:eastAsia="Calibri" w:hAnsi="Times New Roman" w:cs="Times New Roman"/>
          <w:b/>
          <w:sz w:val="28"/>
          <w:szCs w:val="28"/>
        </w:rPr>
        <w:t>(Viện kiểm toán nội bộ)</w:t>
      </w:r>
    </w:p>
    <w:p w:rsidR="00DF282C" w:rsidRPr="008354C2" w:rsidRDefault="00431943" w:rsidP="00DF282C">
      <w:pPr>
        <w:spacing w:after="0"/>
        <w:jc w:val="center"/>
        <w:rPr>
          <w:rFonts w:ascii="Times New Roman" w:eastAsia="Calibri" w:hAnsi="Times New Roman" w:cs="Times New Roman"/>
          <w:b/>
          <w:sz w:val="28"/>
          <w:szCs w:val="28"/>
        </w:rPr>
      </w:pPr>
      <w:r w:rsidRPr="00431943">
        <w:rPr>
          <w:rFonts w:ascii="Times New Roman" w:eastAsia="Calibri" w:hAnsi="Times New Roman" w:cs="Times New Roman"/>
          <w:b/>
          <w:noProof/>
          <w:sz w:val="28"/>
          <w:szCs w:val="28"/>
        </w:rPr>
        <w:pict>
          <v:rect id="Rectangle 15" o:spid="_x0000_s1026" style="position:absolute;left:0;text-align:left;margin-left:38.95pt;margin-top:4.5pt;width:296.55pt;height:38.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bIfKQIAAEkEAAAOAAAAZHJzL2Uyb0RvYy54bWysVNuO0zAQfUfiHyy/0zSl16jpatWlCGmB&#10;FQsf4DhOYuEbY7dp+fodO93SBZ4QebA8mfHJmXPGWd8ctSIHAV5aU9J8NKZEGG5radqSfvu6e7Ok&#10;xAdmaqasESU9CU9vNq9frXtXiIntrKoFEAQxvuhdSbsQXJFlnndCMz+yThhMNhY0CxhCm9XAekTX&#10;KpuMx/Ost1A7sFx4j2/vhiTdJPymETx8bhovAlElRW4hrZDWKq7ZZs2KFpjrJD/TYP/AQjNp8KMX&#10;qDsWGNmD/ANKSw7W2yaMuNWZbRrJReoBu8nHv3Xz2DEnUi8ojncXmfz/g+WfDg9AZI3eTSkxTKNH&#10;X1A1ZlolSD6LAvXOF1j36B4gtujdveXfPTF222GZuAWwfSdYjbTyWJ+9OBADj0dJ1X+0NcKzfbBJ&#10;q2MDOgKiCuSYLDldLBHHQDi+fLuYz/PljBKOuelksVolzzJWPJ924MN7YTWJm5ICkk/o7HDvQ2TD&#10;iueSxN4qWe+kUimAttoqIAeG47FLT2oAm7wuU4b0JV3NJrOE/CLnryHG6fkbhJYB51xJXdLlpYgV&#10;UbZ3pk5TGJhUwx4pK3PWMUo3WBCO1fHsRmXrEyoKdphnvH+46Sz8pKTHWS6p/7FnIChRHwy6ssqn&#10;0zj8KZjOFhMM4DpTXWeY4QhV0kDJsN2G4cLsHci2wy/lSQZjb9HJRiaRo8sDqzNvnNek/fluxQtx&#10;HaeqX3+AzRMAAAD//wMAUEsDBBQABgAIAAAAIQC7cBNP3AAAAAcBAAAPAAAAZHJzL2Rvd25yZXYu&#10;eG1sTI9BT4NAEIXvJv6HzZh4s0urAUGWxmhq4rGlF28DjICys4RdWvTXO570NjPv5c338u1iB3Wi&#10;yfeODaxXESji2jU9twaO5e7mHpQPyA0OjsnAF3nYFpcXOWaNO/OeTofQKglhn6GBLoQx09rXHVn0&#10;KzcSi/buJotB1qnVzYRnCbeD3kRRrC32LB86HOmpo/rzMFsDVb854ve+fIlsursNr0v5Mb89G3N9&#10;tTw+gAq0hD8z/OILOhTCVLmZG68GA0mSitNAKo1EjpO1DJXc4zvQRa7/8xc/AAAA//8DAFBLAQIt&#10;ABQABgAIAAAAIQC2gziS/gAAAOEBAAATAAAAAAAAAAAAAAAAAAAAAABbQ29udGVudF9UeXBlc10u&#10;eG1sUEsBAi0AFAAGAAgAAAAhADj9If/WAAAAlAEAAAsAAAAAAAAAAAAAAAAALwEAAF9yZWxzLy5y&#10;ZWxzUEsBAi0AFAAGAAgAAAAhAI81sh8pAgAASQQAAA4AAAAAAAAAAAAAAAAALgIAAGRycy9lMm9E&#10;b2MueG1sUEsBAi0AFAAGAAgAAAAhALtwE0/cAAAABwEAAA8AAAAAAAAAAAAAAAAAgwQAAGRycy9k&#10;b3ducmV2LnhtbFBLBQYAAAAABAAEAPMAAACMBQAAAAA=&#10;">
            <v:textbox style="mso-next-textbox:#Rectangle 15">
              <w:txbxContent>
                <w:p w:rsidR="005F2600" w:rsidRPr="00A16A86" w:rsidRDefault="005F2600" w:rsidP="00A16A86">
                  <w:pPr>
                    <w:jc w:val="center"/>
                    <w:rPr>
                      <w:rFonts w:ascii="Times New Roman" w:hAnsi="Times New Roman" w:cs="Times New Roman"/>
                      <w:b/>
                      <w:sz w:val="24"/>
                      <w:szCs w:val="24"/>
                    </w:rPr>
                  </w:pPr>
                  <w:r w:rsidRPr="00A16A86">
                    <w:rPr>
                      <w:rFonts w:ascii="Times New Roman" w:hAnsi="Times New Roman" w:cs="Times New Roman"/>
                      <w:b/>
                      <w:sz w:val="24"/>
                      <w:szCs w:val="24"/>
                    </w:rPr>
                    <w:t>Hội đồng quản trị/ Hội đồng thành viên/ Ủy ban kiểm toán</w:t>
                  </w:r>
                </w:p>
              </w:txbxContent>
            </v:textbox>
          </v:rect>
        </w:pict>
      </w:r>
      <w:r w:rsidRPr="00431943">
        <w:rPr>
          <w:rFonts w:ascii="Times New Roman" w:eastAsia="Calibri" w:hAnsi="Times New Roman" w:cs="Times New Roman"/>
          <w:b/>
          <w:noProof/>
          <w:sz w:val="28"/>
          <w:szCs w:val="28"/>
        </w:rPr>
        <w:pict>
          <v:shapetype id="_x0000_t32" coordsize="21600,21600" o:spt="32" o:oned="t" path="m,l21600,21600e" filled="f">
            <v:path arrowok="t" fillok="f" o:connecttype="none"/>
            <o:lock v:ext="edit" shapetype="t"/>
          </v:shapetype>
          <v:shape id="AutoShape 21" o:spid="_x0000_s1036" type="#_x0000_t32" style="position:absolute;left:0;text-align:left;margin-left:142.85pt;margin-top:77.75pt;width:0;height:20.7pt;flip:y;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ngOgIAAGgEAAAOAAAAZHJzL2Uyb0RvYy54bWysVE2P2jAQvVfqf7B8h3wsUIgIq1UCvWxb&#10;pN32bmyHWHVsyzYEVPW/d+wALe2lqsrBjO2ZNzNvnrN8PHUSHbl1QqsSZ+MUI66oZkLtS/z5dTOa&#10;Y+Q8UYxIrXiJz9zhx9XbN8veFDzXrZaMWwQgyhW9KXHrvSmSxNGWd8SNteEKLhttO+Jha/cJs6QH&#10;9E4meZrOkl5bZqym3Dk4rYdLvIr4TcOp/9Q0jnskSwy1+bjauO7CmqyWpNhbYlpBL2WQf6iiI0JB&#10;0htUTTxBByv+gOoEtdrpxo+p7hLdNILy2AN0k6W/dfPSEsNjL0COMzea3P+DpR+PW4sEg9k9YKRI&#10;BzN6OngdU6M8CwT1xhXgV6mtDS3Sk3oxz5p+dUjpqiVqz6P369lAcIxI7kLCxhlIs+s/aAY+BBJE&#10;tk6N7VAjhfkSAgM4MIJOcTzn23j4ySM6HFI4zWf5fBEnl5AiIIQ4Y51/z3WHglFi5y0R+9ZXWinQ&#10;gLYDOjk+Ow8dQeA1IAQrvRFSRilIhfoSL6b5NJbjtBQsXAY3Z/e7Slp0JEFM8RfoAbA7N6sPikWw&#10;lhO2vtieCAk28pElbwXwJjkO2TrOMJIc3k+wBkSpQkboHAq+WIOevi3SxXq+nk9Gk3y2Hk3Suh49&#10;barJaLbJ3k3rh7qq6ux7KD6bFK1gjKtQ/1Xb2eTvtHN5ZYMqb+q+EZXco0cSoNjrfyw6iiDMfVDQ&#10;TrPz1obugh5AztH58vTCe/l1H71+fiBWPwAAAP//AwBQSwMEFAAGAAgAAAAhAGX87BTfAAAACwEA&#10;AA8AAABkcnMvZG93bnJldi54bWxMj8FOwzAQRO9I/IO1SFwQdYjkkoY4FQIKp6oibe9usiRR43UU&#10;u23y9yziAMedeZqdyZaj7cQZB9860vAwi0Agla5qqdaw267uExA+GKpM5wg1TOhhmV9fZSat3IU+&#10;8VyEWnAI+dRoaELoUyl92aA1fuZ6JPa+3GBN4HOoZTWYC4fbTsZRNJfWtMQfGtPjS4PlsThZDa/F&#10;Rq32d7sxnsqPdfGeHDc0vWl9ezM+P4EIOIY/GH7qc3XIudPBnajyotMQJ+qRUTaUUiCY+FUOrCzm&#10;C5B5Jv9vyL8BAAD//wMAUEsBAi0AFAAGAAgAAAAhALaDOJL+AAAA4QEAABMAAAAAAAAAAAAAAAAA&#10;AAAAAFtDb250ZW50X1R5cGVzXS54bWxQSwECLQAUAAYACAAAACEAOP0h/9YAAACUAQAACwAAAAAA&#10;AAAAAAAAAAAvAQAAX3JlbHMvLnJlbHNQSwECLQAUAAYACAAAACEATvu54DoCAABoBAAADgAAAAAA&#10;AAAAAAAAAAAuAgAAZHJzL2Uyb0RvYy54bWxQSwECLQAUAAYACAAAACEAZfzsFN8AAAALAQAADwAA&#10;AAAAAAAAAAAAAACUBAAAZHJzL2Rvd25yZXYueG1sUEsFBgAAAAAEAAQA8wAAAKAFAAAAAA==&#10;">
            <v:stroke endarrow="block"/>
          </v:shape>
        </w:pict>
      </w:r>
      <w:r w:rsidRPr="00431943">
        <w:rPr>
          <w:rFonts w:ascii="Times New Roman" w:eastAsia="Calibri" w:hAnsi="Times New Roman" w:cs="Times New Roman"/>
          <w:b/>
          <w:noProof/>
          <w:sz w:val="28"/>
          <w:szCs w:val="28"/>
        </w:rPr>
        <w:pict>
          <v:shape id="AutoShape 20" o:spid="_x0000_s1035" type="#_x0000_t32" style="position:absolute;left:0;text-align:left;margin-left:38.95pt;margin-top:77.75pt;width:0;height:20.7pt;flip:y;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G2OwIAAGgEAAAOAAAAZHJzL2Uyb0RvYy54bWysVE2P2yAQvVfqf0DcE380SRMrzmplJ71s&#10;u5F22zsBbKNiQMDGiar+9w44m91tL1XVHMgAM2/eDG+8vjn1Eh25dUKrEmfTFCOuqGZCtSX++rib&#10;LDFynihGpFa8xGfu8M3m/bv1YAqe605Lxi0CEOWKwZS4894USeJox3viptpwBZeNtj3xsLVtwiwZ&#10;AL2XSZ6mi2TQlhmrKXcOTuvxEm8iftNw6u+bxnGPZImBm4+rjeshrMlmTYrWEtMJeqFB/oFFT4SC&#10;pFeomniCnqz4A6oX1GqnGz+luk900wjKYw1QTZb+Vs1DRwyPtUBznLm2yf0/WPrluLdIMHi7HCNF&#10;enij2yevY2qUxwYNxhXgV6m9DSXSk3owd5p+d0jpqiOq5dH78WwgOAstTd6EhI0zkOYwfNYMfAgk&#10;iN06NbZHjRTmWwgM4NARdIrPc74+Dz95RMdDCqf5Il+uIrGEFAEhxBnr/CeuexSMEjtviWg7X2ml&#10;QAPajujkeOd84PcSEIKV3gkpoxSkQkOJV/N8Huk4LQULl8HN2fZQSYuOJIgp/mKxcPPazeonxSJY&#10;xwnbXmxPhAQb+dglbwX0TXIcsvWcYSQ5zE+wRnpShYxQORC+WKOefqzS1Xa5Xc4ms3yxnczSup7c&#10;7qrZZLHLPs7rD3VV1dnPQD6bFZ1gjKvA/1nb2ezvtHOZslGVV3VfG5W8RY8dBbLP/5F0FEF49zCM&#10;rjhodt7bUF3YgZyj82X0wry83kevlw/E5hcAAAD//wMAUEsDBBQABgAIAAAAIQD/bPQ63gAAAAkB&#10;AAAPAAAAZHJzL2Rvd25yZXYueG1sTI/BTsJAEIbvJrzDZky4GNlKUqC1W0JE9GSIFe9Ld2wburNN&#10;d4H27R296HG++fPPN9l6sK24YO8bRwoeZhEIpNKZhioFh4/d/QqED5qMbh2hghE9rPPJTaZT4670&#10;jpciVIJLyKdaQR1Cl0rpyxqt9jPXIfHuy/VWBx77SppeX7nctnIeRQtpdUN8odYdPtVYnoqzVbAt&#10;9vHu8+4wzMfy9a14WZ32ND4rNb0dNo8gAg7hLww/+qwOOTsd3ZmMF62C5TLhJPM4jkFw4BccGSSL&#10;BGSeyf8f5N8AAAD//wMAUEsBAi0AFAAGAAgAAAAhALaDOJL+AAAA4QEAABMAAAAAAAAAAAAAAAAA&#10;AAAAAFtDb250ZW50X1R5cGVzXS54bWxQSwECLQAUAAYACAAAACEAOP0h/9YAAACUAQAACwAAAAAA&#10;AAAAAAAAAAAvAQAAX3JlbHMvLnJlbHNQSwECLQAUAAYACAAAACEA206htjsCAABoBAAADgAAAAAA&#10;AAAAAAAAAAAuAgAAZHJzL2Uyb0RvYy54bWxQSwECLQAUAAYACAAAACEA/2z0Ot4AAAAJAQAADwAA&#10;AAAAAAAAAAAAAACVBAAAZHJzL2Rvd25yZXYueG1sUEsFBgAAAAAEAAQA8wAAAKAFAAAAAA==&#10;">
            <v:stroke endarrow="block"/>
          </v:shape>
        </w:pict>
      </w:r>
      <w:r w:rsidRPr="00431943">
        <w:rPr>
          <w:rFonts w:ascii="Times New Roman" w:eastAsia="Calibri" w:hAnsi="Times New Roman" w:cs="Times New Roman"/>
          <w:b/>
          <w:noProof/>
          <w:sz w:val="28"/>
          <w:szCs w:val="28"/>
        </w:rPr>
        <w:pict>
          <v:rect id="Rectangle 19" o:spid="_x0000_s1027" style="position:absolute;left:0;text-align:left;margin-left:404.7pt;margin-top:8.25pt;width:30.8pt;height:178.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tWkKQIAAFAEAAAOAAAAZHJzL2Uyb0RvYy54bWysVNuO0zAQfUfiHyy/0zShLduo6WrVpQhp&#10;WVYsfIDjOImFb4zdpv17xk5busATIg+WxzM+njlnJqvbg1ZkL8BLayqaT6aUCMNtI01X0W9ft29u&#10;KPGBmYYpa0RFj8LT2/XrV6vBlaKwvVWNAIIgxpeDq2gfgiuzzPNeaOYn1gmDztaCZgFN6LIG2IDo&#10;WmXFdLrIBguNA8uF93h6PzrpOuG3reDhc9t6EYiqKOYW0gppreOarVes7IC5XvJTGuwfstBMGnz0&#10;AnXPAiM7kH9AacnBetuGCbc6s20ruUg1YDX59LdqnnvmRKoFyfHuQpP/f7D8cf8ERDaoXU6JYRo1&#10;+oKsMdMpQfJlJGhwvsS4Z/cEsUTvHiz/7omxmx7DxB2AHXrBGkwrj/HZiwvR8HiV1MMn2yA82wWb&#10;uDq0oCMgskAOSZLjRRJxCITj4dtlni9QOI6uoljMZnnSLGPl+bYDHz4Iq0ncVBQw+YTO9g8+xGxY&#10;eQ5J2Vslm61UKhnQ1RsFZM+wPbbpSwVgkddhypChost5MU/IL3z+GmKavr9BaBmwz5XUFb25BLEy&#10;0vbeNKkLA5Nq3GPKypx4jNSNEoRDfRiVOotS2+aIxIId2xrHEDdxpWTAlq6o/7FjIChRHw2Ks8xn&#10;szgDyZjN3xVowLWnvvYww3uLk4Jg43YTxrnZOZBdjy/liQ1j71DQViauo9hjVqf0sW2TBKcRi3Nx&#10;baeoXz+C9U8AAAD//wMAUEsDBBQABgAIAAAAIQDKf1dQ4AAAAAoBAAAPAAAAZHJzL2Rvd25yZXYu&#10;eG1sTI9BS8NAEIXvgv9hGcGL2E2stjFmU4ogCD2o1eJ1mh2T0OxszG7b9N87nvQ4vMc33ysWo+vU&#10;gYbQejaQThJQxJW3LdcGPt6frjNQISJb7DyTgRMFWJTnZwXm1h/5jQ7rWCuBcMjRQBNjn2sdqoYc&#10;honviSX78oPDKOdQazvgUeCu0zdJMtMOW5YPDfb02FC1W++dgelq93KlV0scx+fTZ//9urG+3Rhz&#10;eTEuH0BFGuNfGX71RR1Kcdr6PdugOgNZcn8rVQlmd6CkkM1TGbcV+nyagi4L/X9C+QMAAP//AwBQ&#10;SwECLQAUAAYACAAAACEAtoM4kv4AAADhAQAAEwAAAAAAAAAAAAAAAAAAAAAAW0NvbnRlbnRfVHlw&#10;ZXNdLnhtbFBLAQItABQABgAIAAAAIQA4/SH/1gAAAJQBAAALAAAAAAAAAAAAAAAAAC8BAABfcmVs&#10;cy8ucmVsc1BLAQItABQABgAIAAAAIQCm4tWkKQIAAFAEAAAOAAAAAAAAAAAAAAAAAC4CAABkcnMv&#10;ZTJvRG9jLnhtbFBLAQItABQABgAIAAAAIQDKf1dQ4AAAAAoBAAAPAAAAAAAAAAAAAAAAAIMEAABk&#10;cnMvZG93bnJldi54bWxQSwUGAAAAAAQABADzAAAAkAUAAAAA&#10;">
            <v:textbox style="layout-flow:vertical;mso-next-textbox:#Rectangle 19">
              <w:txbxContent>
                <w:p w:rsidR="005F2600" w:rsidRPr="00A16A86" w:rsidRDefault="005F2600" w:rsidP="00A16A86">
                  <w:pPr>
                    <w:spacing w:after="0" w:line="240" w:lineRule="auto"/>
                    <w:jc w:val="center"/>
                    <w:rPr>
                      <w:rFonts w:ascii="Times New Roman" w:hAnsi="Times New Roman" w:cs="Times New Roman"/>
                      <w:b/>
                      <w:sz w:val="24"/>
                      <w:szCs w:val="24"/>
                    </w:rPr>
                  </w:pPr>
                  <w:r w:rsidRPr="00A16A86">
                    <w:rPr>
                      <w:rFonts w:ascii="Times New Roman" w:hAnsi="Times New Roman" w:cs="Times New Roman"/>
                      <w:b/>
                      <w:sz w:val="24"/>
                      <w:szCs w:val="24"/>
                    </w:rPr>
                    <w:t>Cơ quan quản lý</w:t>
                  </w:r>
                </w:p>
              </w:txbxContent>
            </v:textbox>
          </v:rect>
        </w:pict>
      </w:r>
      <w:r w:rsidRPr="00431943">
        <w:rPr>
          <w:rFonts w:ascii="Times New Roman" w:eastAsia="Calibri" w:hAnsi="Times New Roman" w:cs="Times New Roman"/>
          <w:b/>
          <w:noProof/>
          <w:sz w:val="28"/>
          <w:szCs w:val="28"/>
        </w:rPr>
        <w:pict>
          <v:rect id="Rectangle 18" o:spid="_x0000_s1028" style="position:absolute;left:0;text-align:left;margin-left:364.1pt;margin-top:8.25pt;width:29.35pt;height:178.3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p7KQIAAFAEAAAOAAAAZHJzL2Uyb0RvYy54bWysVFFv0zAQfkfiP1h+p2lCunZR02nqKEIa&#10;Y2LwAy6Ok1g4trHdJv33nJ2u64AnRB4sn+/8+bvv7rK+GXtJDtw6oVVJ09mcEq6YroVqS/r92+7d&#10;ihLnQdUgteIlPXJHbzZv36wHU/BMd1rW3BIEUa4YTEk7702RJI51vAc304YrdDba9uDRtG1SWxgQ&#10;vZdJNp9fJYO2tbGacefw9G5y0k3EbxrO/JemcdwTWVLk5uNq41qFNdmsoWgtmE6wEw34BxY9CIWP&#10;nqHuwAPZW/EHVC+Y1U43fsZ0n+imEYzHHDCbdP5bNk8dGB5zQXGcOcvk/h8sezg8WiJqrB3Ko6DH&#10;Gn1F1UC1kpN0FQQajCsw7sk82pCiM/ea/XBE6W2HYfzWWj10HGqklYb45NWFYDi8Sqrhs64RHvZe&#10;R63GxvYBEFUgYyzJ8VwSPnrC8PD9MlvmC0oYurLsKs+RZngCiufbxjr/keuehE1JLZKP6HC4d34K&#10;fQ6J7LUU9U5IGQ3bVltpyQGwPXbxO6G7yzCpyFDS60W2iMivfO4SYh6/v0H0wmOfS9GXdHUOgiLI&#10;9kHVSBMKD0JOe8xOqpOOQbqpBH6sxlipLDwQZK10fURhrZ7aGscQN2GlZMCWLqn7uQfLKZGfFBbn&#10;Os3zMAPRyBfLDA176akuPaBYp3FSEGzabv00N3tjRdvhS2lUQ+lbLGgjotYvrE70sW1jtU4jFubi&#10;0o5RLz+CzS8AAAD//wMAUEsDBBQABgAIAAAAIQDCnrEo4QAAAAoBAAAPAAAAZHJzL2Rvd25yZXYu&#10;eG1sTI9BS8NAEIXvgv9hGcGL2E1TTGLMphRBEHpQq8XrNDsmodndmN2223/veNLj8B7f+6ZaRjOI&#10;I02+d1bBfJaAINs43dtWwcf7020Bwge0GgdnScGZPCzry4sKS+1O9o2Om9AKhlhfooIuhLGU0jcd&#10;GfQzN5Ll7MtNBgOfUyv1hCeGm0GmSZJJg73lhQ5Heuyo2W8ORsFivX+5kesVxvh8/hy/X7fa9Vul&#10;rq/i6gFEoBj+yvCrz+pQs9POHaz2YlCQp0XKVQ6yOxBcyIvsHsSO6fliDrKu5P8X6h8AAAD//wMA&#10;UEsBAi0AFAAGAAgAAAAhALaDOJL+AAAA4QEAABMAAAAAAAAAAAAAAAAAAAAAAFtDb250ZW50X1R5&#10;cGVzXS54bWxQSwECLQAUAAYACAAAACEAOP0h/9YAAACUAQAACwAAAAAAAAAAAAAAAAAvAQAAX3Jl&#10;bHMvLnJlbHNQSwECLQAUAAYACAAAACEA3+YaeykCAABQBAAADgAAAAAAAAAAAAAAAAAuAgAAZHJz&#10;L2Uyb0RvYy54bWxQSwECLQAUAAYACAAAACEAwp6xKOEAAAAKAQAADwAAAAAAAAAAAAAAAACDBAAA&#10;ZHJzL2Rvd25yZXYueG1sUEsFBgAAAAAEAAQA8wAAAJEFAAAAAA==&#10;">
            <v:textbox style="layout-flow:vertical;mso-next-textbox:#Rectangle 18">
              <w:txbxContent>
                <w:p w:rsidR="005F2600" w:rsidRPr="00A16A86" w:rsidRDefault="005F2600" w:rsidP="00A16A86">
                  <w:pPr>
                    <w:jc w:val="center"/>
                    <w:rPr>
                      <w:rFonts w:ascii="Times New Roman" w:hAnsi="Times New Roman" w:cs="Times New Roman"/>
                      <w:b/>
                      <w:sz w:val="24"/>
                      <w:szCs w:val="24"/>
                    </w:rPr>
                  </w:pPr>
                  <w:r w:rsidRPr="00A16A86">
                    <w:rPr>
                      <w:rFonts w:ascii="Times New Roman" w:hAnsi="Times New Roman" w:cs="Times New Roman"/>
                      <w:b/>
                      <w:sz w:val="24"/>
                      <w:szCs w:val="24"/>
                    </w:rPr>
                    <w:t>Kiểm toán độc lập</w:t>
                  </w:r>
                </w:p>
              </w:txbxContent>
            </v:textbox>
          </v:rect>
        </w:pict>
      </w:r>
      <w:r w:rsidRPr="00431943">
        <w:rPr>
          <w:rFonts w:ascii="Times New Roman" w:eastAsia="Calibri" w:hAnsi="Times New Roman" w:cs="Times New Roman"/>
          <w:b/>
          <w:noProof/>
          <w:sz w:val="28"/>
          <w:szCs w:val="28"/>
        </w:rPr>
        <w:pict>
          <v:rect id="Rectangle 14" o:spid="_x0000_s1031" style="position:absolute;left:0;text-align:left;margin-left:-11.05pt;margin-top:49.7pt;width:281.45pt;height:28.0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mYKwIAAE8EAAAOAAAAZHJzL2Uyb0RvYy54bWysVNtu2zAMfR+wfxD0vjhO7F6MOEWRLsOA&#10;bivW7QNkWbaFyZJGKbGzry8lp2m67WmYHwRRpI4OD0mvbsZekb0AJ40uaTqbUyI0N7XUbUm/f9u+&#10;u6LEeaZrpowWJT0IR2/Wb9+sBluIhemMqgUQBNGuGGxJO+9tkSSOd6Jnbmas0OhsDPTMowltUgMb&#10;EL1XyWI+v0gGA7UFw4VzeHo3Oek64jeN4P5L0zjhiSopcvNxhbhWYU3WK1a0wGwn+ZEG+wcWPZMa&#10;Hz1B3THPyA7kH1C95GCcafyMmz4xTSO5iDlgNun8t2weO2ZFzAXFcfYkk/t/sPzz/gGIrEt6SYlm&#10;PZboK4rGdKsESbOgz2BdgWGP9gFChs7eG/7DEW02HYaJWwAzdILVyCoN8cmrC8FweJVUwydTIzzb&#10;eROlGhvoAyCKQMZYkcOpImL0hOPhMr/MsjSnhKNvmV8slnl8ghXPty04/0GYnoRNSQHJR3S2v3c+&#10;sGHFc0hkb5Sst1KpaEBbbRSQPcPu2MbviO7Ow5QmQ0mv80UekV/53DnEPH5/g+ilxzZXsi/p1SmI&#10;FUG297qOTeiZVNMeKSt91DFIN5XAj9UYCxUVCLJWpj6gsGCmrsYpxE1n4BclA3Z0Sd3PHQNBifqo&#10;sTjXaZaFEYhGll8u0IBzT3XuYZojVEk9JdN246ex2VmQbYcvpVENbW6xoI2MWr+wOtLHro0lOE5Y&#10;GItzO0a9/AfWTwAAAP//AwBQSwMEFAAGAAgAAAAhAK0jxpffAAAACgEAAA8AAABkcnMvZG93bnJl&#10;di54bWxMj0FPg0AQhe8m/ofNmHhrd4vFCGVpjKYmHlt68TbACFR2l7BLi/56x5M9TubLe9/LtrPp&#10;xZlG3zmrYbVUIMhWru5so+FY7BZPIHxAW2PvLGn4Jg/b/PYmw7R2F7un8yE0gkOsT1FDG8KQSumr&#10;lgz6pRvI8u/TjQYDn2Mj6xEvHG56GSn1KA12lhtaHOilperrMBkNZRcd8WdfvCmT7B7C+1ycpo9X&#10;re/v5ucNiEBz+IfhT5/VIWen0k229qLXsIiiFaMakmQNgoF4rXhLyWQcxyDzTF5PyH8BAAD//wMA&#10;UEsBAi0AFAAGAAgAAAAhALaDOJL+AAAA4QEAABMAAAAAAAAAAAAAAAAAAAAAAFtDb250ZW50X1R5&#10;cGVzXS54bWxQSwECLQAUAAYACAAAACEAOP0h/9YAAACUAQAACwAAAAAAAAAAAAAAAAAvAQAAX3Jl&#10;bHMvLnJlbHNQSwECLQAUAAYACAAAACEAKBS5mCsCAABPBAAADgAAAAAAAAAAAAAAAAAuAgAAZHJz&#10;L2Uyb0RvYy54bWxQSwECLQAUAAYACAAAACEArSPGl98AAAAKAQAADwAAAAAAAAAAAAAAAACFBAAA&#10;ZHJzL2Rvd25yZXYueG1sUEsFBgAAAAAEAAQA8wAAAJEFAAAAAA==&#10;">
            <v:textbox style="mso-next-textbox:#Rectangle 14">
              <w:txbxContent>
                <w:p w:rsidR="005F2600" w:rsidRPr="00A16A86" w:rsidRDefault="005F2600" w:rsidP="00A16A86">
                  <w:pPr>
                    <w:jc w:val="center"/>
                    <w:rPr>
                      <w:rFonts w:ascii="Times New Roman" w:hAnsi="Times New Roman" w:cs="Times New Roman"/>
                      <w:b/>
                      <w:sz w:val="24"/>
                      <w:szCs w:val="24"/>
                    </w:rPr>
                  </w:pPr>
                  <w:r w:rsidRPr="00A16A86">
                    <w:rPr>
                      <w:rFonts w:ascii="Times New Roman" w:hAnsi="Times New Roman" w:cs="Times New Roman"/>
                      <w:b/>
                      <w:sz w:val="24"/>
                      <w:szCs w:val="24"/>
                    </w:rPr>
                    <w:t>Quản lý cấp cao</w:t>
                  </w:r>
                </w:p>
              </w:txbxContent>
            </v:textbox>
          </v:rect>
        </w:pict>
      </w:r>
      <w:r w:rsidRPr="00431943">
        <w:rPr>
          <w:rFonts w:ascii="Times New Roman" w:eastAsia="Calibri" w:hAnsi="Times New Roman" w:cs="Times New Roman"/>
          <w:b/>
          <w:noProof/>
          <w:sz w:val="28"/>
          <w:szCs w:val="28"/>
        </w:rPr>
        <w:pict>
          <v:shape id="AutoShape 22" o:spid="_x0000_s1033" type="#_x0000_t32" style="position:absolute;left:0;text-align:left;margin-left:237.25pt;margin-top:77.75pt;width:.7pt;height:20.7pt;flip:x y;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Mm+QAIAAHQEAAAOAAAAZHJzL2Uyb0RvYy54bWysVE2P0zAQvSPxHyzfu2lCt7TRpqtV0sJh&#10;gUq7cHdtp7FwbMv2Nq0Q/50Zp1tYuCBED+7Y8/Vm5k1ubo+9Jgfpg7KmovnVlBJpuBXK7Cv6+XEz&#10;WVASIjOCaWtkRU8y0NvV61c3gytlYTurhfQEgphQDq6iXYyuzLLAO9mzcGWdNKBsre9ZhKvfZ8Kz&#10;AaL3Oium03k2WC+ct1yGAK/NqKSrFL9tJY+f2jbISHRFAVtMp0/nDs9sdcPKvWeuU/wMg/0Dip4p&#10;A0kvoRoWGXny6o9QveLeBtvGK277zLat4jLVANXk09+qeeiYk6kWaE5wlzaF/xeWfzxsPVGiogUl&#10;hvUworunaFNmUhTYn8GFEsxqs/VYIT+aB3dv+ddAjK07ZvYyWT+eHDjn6JG9cMFLcJBlN3ywAmwY&#10;JEjNOra+J61W7j06JukLSpgGWkOOaU6ny5zkMRIOj4vFEmbJQVHMC5QxJysxHLo6H+I7aXuCQkVD&#10;9Eztu1hbY4AP1o8J2OE+xNHx2QGdjd0oreGdldqQoaLL6+I6IQpWK4FK1AW/39XakwNDYqXfGcUL&#10;M2+fjEjBOsnE+ixHpjTIJKaWRa+giVpSzNZLQYmWsEsojfC0wYxQPAA+SyO3vi2ny/VivZhNZsV8&#10;PZlNm2Zyt6lnk/kmf3vdvGnqusm/I/h8VnZKCGkQ/zPP89nf8ei8cSNDL0y/NCp7GT2NAsA+/yfQ&#10;iRFIgpFOOytOW4/VITmA2sn4vIa4O7/ek9XPj8XqBwAAAP//AwBQSwMEFAAGAAgAAAAhAN97mezg&#10;AAAACwEAAA8AAABkcnMvZG93bnJldi54bWxMj0FPwzAMhe9I/IfIk7ixdKjdaNd0QkicACG2Xbhl&#10;jddWa5ysybry7zEnuNl+T8/fKzeT7cWIQ+gcKVjMExBItTMdNQr2u5f7RxAhajK6d4QKvjHAprq9&#10;KXVh3JU+cdzGRnAIhUIraGP0hZShbtHqMHceibWjG6yOvA6NNIO+crjt5UOSLKXVHfGHVnt8brE+&#10;bS9WwTHx9Ue+ezXns0/H5u1r7xfvJ6XuZtPTGkTEKf6Z4Ref0aFipoO7kAmiV5Cu0oytLGQZD+xI&#10;V1kO4sCXfJmDrEr5v0P1AwAA//8DAFBLAQItABQABgAIAAAAIQC2gziS/gAAAOEBAAATAAAAAAAA&#10;AAAAAAAAAAAAAABbQ29udGVudF9UeXBlc10ueG1sUEsBAi0AFAAGAAgAAAAhADj9If/WAAAAlAEA&#10;AAsAAAAAAAAAAAAAAAAALwEAAF9yZWxzLy5yZWxzUEsBAi0AFAAGAAgAAAAhAFpgyb5AAgAAdAQA&#10;AA4AAAAAAAAAAAAAAAAALgIAAGRycy9lMm9Eb2MueG1sUEsBAi0AFAAGAAgAAAAhAN97mezgAAAA&#10;CwEAAA8AAAAAAAAAAAAAAAAAmgQAAGRycy9kb3ducmV2LnhtbFBLBQYAAAAABAAEAPMAAACnBQAA&#10;AAA=&#10;">
            <v:stroke endarrow="block"/>
          </v:shape>
        </w:pict>
      </w:r>
    </w:p>
    <w:p w:rsidR="00DF282C" w:rsidRPr="008354C2" w:rsidRDefault="00DF282C" w:rsidP="00DF282C">
      <w:pPr>
        <w:spacing w:after="0"/>
        <w:jc w:val="center"/>
        <w:rPr>
          <w:rFonts w:ascii="Times New Roman" w:eastAsia="Calibri" w:hAnsi="Times New Roman" w:cs="Times New Roman"/>
          <w:b/>
          <w:sz w:val="28"/>
          <w:szCs w:val="28"/>
        </w:rPr>
      </w:pPr>
    </w:p>
    <w:p w:rsidR="00DF282C" w:rsidRPr="008354C2" w:rsidRDefault="00431943" w:rsidP="00DF282C">
      <w:pPr>
        <w:spacing w:after="0"/>
        <w:jc w:val="center"/>
        <w:rPr>
          <w:rFonts w:ascii="Times New Roman" w:eastAsia="Calibri" w:hAnsi="Times New Roman" w:cs="Times New Roman"/>
          <w:b/>
          <w:sz w:val="28"/>
          <w:szCs w:val="28"/>
        </w:rPr>
      </w:pPr>
      <w:r w:rsidRPr="00431943">
        <w:rPr>
          <w:rFonts w:ascii="Times New Roman" w:eastAsia="Calibri" w:hAnsi="Times New Roman" w:cs="Times New Roman"/>
          <w:b/>
          <w:noProof/>
          <w:sz w:val="28"/>
          <w:szCs w:val="28"/>
        </w:rPr>
        <w:pict>
          <v:shape id="AutoShape 23" o:spid="_x0000_s1034" type="#_x0000_t32" style="position:absolute;left:0;text-align:left;margin-left:301.15pt;margin-top:3.7pt;width:0;height:57.6pt;flip:y;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aa1NwIAAGcEAAAOAAAAZHJzL2Uyb0RvYy54bWysVE2P2jAQvVfqf7B8hyRsYCEirFYJ9LJt&#10;kXbbu7EdYtWxLdsQUNX/3rHDsqW9VFU5GH/MvHnz/Jzlw6mT6MitE1qVOBunGHFFNRNqX+IvL5vR&#10;HCPniWJEasVLfOYOP6zev1v2puAT3WrJuEUAolzRmxK33psiSRxteUfcWBuu4LDRtiMelnafMEt6&#10;QO9kMknTWdJry4zVlDsHu/VwiFcRv2k49Z+bxnGPZImBm4+jjeMujMlqSYq9JaYV9EKD/AOLjggF&#10;Ra9QNfEEHaz4A6oT1GqnGz+mukt00wjKYw/QTZb+1s1zSwyPvYA4zlxlcv8Pln46bi0SrMQ5Rop0&#10;cEWPB69jZTS5C/r0xhUQVqmtDR3Sk3o2T5p+c0jpqiVqz2P0y9lAchYykpuUsHAGquz6j5pBDIEC&#10;UaxTYzvUSGG+hsQADoKgU7yd8/V2+MkjOmxS2L2fTbP7aSxDioAQ8ox1/gPXHQqTEjtvidi3vtJK&#10;gQW0HdDJ8cn5wO8tISQrvRFSRidIhfoSL6aTaaTjtBQsHIYwZ/e7Slp0JMFL8XdhcRNm9UGxCNZy&#10;wtaXuSdCwhz5qJK3AnSTHIdqHWcYSQ7PJ8wGelKFitA5EL7MBjt9X6SL9Xw9z0f5ZLYe5Wldjx43&#10;VT6abUCV+q6uqjr7EchnedEKxrgK/F+tneV/Z53LIxtMeTX3VajkFj0qCmRf/yPpaIJw74ODdpqd&#10;tzZ0F/wAbo7Bl5cXnsuv6xj19n1Y/QQAAP//AwBQSwMEFAAGAAgAAAAhANqPwJDfAAAACgEAAA8A&#10;AABkcnMvZG93bnJldi54bWxMj8FOwzAMhu9IvENkJC6IpRRWtq7phIDBCU2Ucc8ar63WOFWTbe3b&#10;Y8SBHW1/+v392XKwrThi7xtHCu4mEQik0pmGKgWbr9XtDIQPmoxuHaGCET0s88uLTKfGnegTj0Wo&#10;BIeQT7WCOoQuldKXNVrtJ65D4tvO9VYHHvtKml6fONy2Mo6iRFrdEH+odYfPNZb74mAVvBTr6er7&#10;ZjPEY/n+UbzN9msaX5W6vhqeFiACDuEfhl99VoecnbbuQMaLVkESxfeMKnhMHkAw8LfYMjlP5iDz&#10;TJ5XyH8AAAD//wMAUEsBAi0AFAAGAAgAAAAhALaDOJL+AAAA4QEAABMAAAAAAAAAAAAAAAAAAAAA&#10;AFtDb250ZW50X1R5cGVzXS54bWxQSwECLQAUAAYACAAAACEAOP0h/9YAAACUAQAACwAAAAAAAAAA&#10;AAAAAAAvAQAAX3JlbHMvLnJlbHNQSwECLQAUAAYACAAAACEAPFmmtTcCAABnBAAADgAAAAAAAAAA&#10;AAAAAAAuAgAAZHJzL2Uyb0RvYy54bWxQSwECLQAUAAYACAAAACEA2o/AkN8AAAAKAQAADwAAAAAA&#10;AAAAAAAAAACRBAAAZHJzL2Rvd25yZXYueG1sUEsFBgAAAAAEAAQA8wAAAJ0FAAAAAA==&#10;">
            <v:stroke endarrow="block"/>
          </v:shape>
        </w:pict>
      </w:r>
    </w:p>
    <w:p w:rsidR="00DF282C" w:rsidRPr="008354C2" w:rsidRDefault="00DF282C" w:rsidP="00DF282C">
      <w:pPr>
        <w:spacing w:after="0"/>
        <w:jc w:val="center"/>
        <w:rPr>
          <w:rFonts w:ascii="Times New Roman" w:eastAsia="Calibri" w:hAnsi="Times New Roman" w:cs="Times New Roman"/>
          <w:b/>
          <w:sz w:val="28"/>
          <w:szCs w:val="28"/>
        </w:rPr>
      </w:pPr>
    </w:p>
    <w:p w:rsidR="00DF282C" w:rsidRPr="008354C2" w:rsidRDefault="00DF282C" w:rsidP="00DF282C">
      <w:pPr>
        <w:spacing w:after="0"/>
        <w:jc w:val="center"/>
        <w:rPr>
          <w:rFonts w:ascii="Times New Roman" w:eastAsia="Calibri" w:hAnsi="Times New Roman" w:cs="Times New Roman"/>
          <w:b/>
          <w:sz w:val="28"/>
          <w:szCs w:val="28"/>
        </w:rPr>
      </w:pPr>
    </w:p>
    <w:p w:rsidR="00DF282C" w:rsidRPr="008354C2" w:rsidRDefault="00431943" w:rsidP="00DF282C">
      <w:pPr>
        <w:spacing w:after="0"/>
        <w:jc w:val="center"/>
        <w:rPr>
          <w:rFonts w:ascii="Times New Roman" w:eastAsia="Calibri" w:hAnsi="Times New Roman" w:cs="Times New Roman"/>
          <w:b/>
          <w:sz w:val="28"/>
          <w:szCs w:val="28"/>
        </w:rPr>
      </w:pPr>
      <w:r w:rsidRPr="00431943">
        <w:rPr>
          <w:rFonts w:ascii="Times New Roman" w:eastAsia="Calibri" w:hAnsi="Times New Roman" w:cs="Times New Roman"/>
          <w:b/>
          <w:noProof/>
          <w:sz w:val="28"/>
          <w:szCs w:val="28"/>
        </w:rPr>
        <w:pict>
          <v:rect id="Rectangle 13" o:spid="_x0000_s1032" style="position:absolute;left:0;text-align:left;margin-left:218.75pt;margin-top:5.85pt;width:101.1pt;height:99.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IxvKgIAAFAEAAAOAAAAZHJzL2Uyb0RvYy54bWysVNtu2zAMfR+wfxD0vjhOkzYx4hRFugwD&#10;uq1Ytw+QZdkWptsoJU739aVkN023PQ3zgyCKR0fkIen19VErchDgpTUlzSdTSoThtpamLen3b7t3&#10;S0p8YKZmyhpR0kfh6fXm7Zt17woxs51VtQCCJMYXvStpF4IrsszzTmjmJ9YJg87GgmYBTWizGliP&#10;7Fpls+n0Must1A4sF97j6e3gpJvE3zSChy9N40UgqqQYW0grpLWKa7ZZs6IF5jrJxzDYP0ShmTT4&#10;6InqlgVG9iD/oNKSg/W2CRNudWabRnKRcsBs8ulv2Tx0zImUC4rj3Ukm//9o+efDPRBZl/SSEsM0&#10;lugrisZMqwTJL6I+vfMFwh7cPcQMvbuz/Icnxm47hIkbANt3gtUYVR7x2asL0fB4lVT9J1sjPdsH&#10;m6Q6NqAjIYpAjqkij6eKiGMgHA/z2fJidYWF4+jL83y5RCO+wYrn6w58+CCsJnFTUsDoEz073Pkw&#10;QJ8hKXyrZL2TSiUD2mqrgBwYtscufSO7P4cpQ/qSrhazRWJ+5fPnFNP0/Y1Cy4B9rqQu6fIEYkXU&#10;7b2pMUxWBCbVsMfslBmFjNoNNQjH6jhWCvFR18rWj6gs2KGtcQxx01n4RUmPLV1S/3PPQFCiPhqs&#10;ziqfz+MMJGO+uJqhAeee6tzDDEeqkgZKhu02DHOzdyDbDl/KkxrG3mBFG5m0folqDB/bNlVrHLE4&#10;F+d2Qr38CDZPAAAA//8DAFBLAwQUAAYACAAAACEABVVZS+AAAAALAQAADwAAAGRycy9kb3ducmV2&#10;LnhtbEyPQU+DQBCF7yb+h82YeLNLi4IgS2M0NfHY0ou3gR0BZWcJu7Tor3c96XHyvrz3TbFdzCBO&#10;NLnesoL1KgJB3Fjdc6vgWO1u7kE4j6xxsEwKvsjBtry8KDDX9sx7Oh18K0IJuxwVdN6PuZSu6cig&#10;W9mROGTvdjLowzm1Uk94DuVmkJsoSqTBnsNChyM9ddR8HmajoO43R/zeVy+RyXaxf12qj/ntWanr&#10;q+XxAYSnxf/B8Ksf1KEMTrWdWTsxKLiN07uAhiBLMhCBSOIsBVEriNN4DbIs5P8fyh8AAAD//wMA&#10;UEsBAi0AFAAGAAgAAAAhALaDOJL+AAAA4QEAABMAAAAAAAAAAAAAAAAAAAAAAFtDb250ZW50X1R5&#10;cGVzXS54bWxQSwECLQAUAAYACAAAACEAOP0h/9YAAACUAQAACwAAAAAAAAAAAAAAAAAvAQAAX3Jl&#10;bHMvLnJlbHNQSwECLQAUAAYACAAAACEAmVCMbyoCAABQBAAADgAAAAAAAAAAAAAAAAAuAgAAZHJz&#10;L2Uyb0RvYy54bWxQSwECLQAUAAYACAAAACEABVVZS+AAAAALAQAADwAAAAAAAAAAAAAAAACEBAAA&#10;ZHJzL2Rvd25yZXYueG1sUEsFBgAAAAAEAAQA8wAAAJEFAAAAAA==&#10;">
            <v:textbox style="mso-next-textbox:#Rectangle 13">
              <w:txbxContent>
                <w:p w:rsidR="005F2600" w:rsidRPr="00A16A86" w:rsidRDefault="005F2600" w:rsidP="00A16A86">
                  <w:pPr>
                    <w:jc w:val="center"/>
                    <w:rPr>
                      <w:rFonts w:ascii="Times New Roman" w:hAnsi="Times New Roman" w:cs="Times New Roman"/>
                      <w:b/>
                      <w:sz w:val="24"/>
                      <w:szCs w:val="24"/>
                    </w:rPr>
                  </w:pPr>
                  <w:r w:rsidRPr="00A16A86">
                    <w:rPr>
                      <w:rFonts w:ascii="Times New Roman" w:hAnsi="Times New Roman" w:cs="Times New Roman"/>
                      <w:b/>
                      <w:sz w:val="24"/>
                      <w:szCs w:val="24"/>
                    </w:rPr>
                    <w:t>LỚP THỨ BA</w:t>
                  </w:r>
                </w:p>
                <w:p w:rsidR="005F2600" w:rsidRPr="00A16A86" w:rsidRDefault="005F2600" w:rsidP="00A16A86">
                  <w:pPr>
                    <w:jc w:val="center"/>
                    <w:rPr>
                      <w:rFonts w:ascii="Times New Roman" w:hAnsi="Times New Roman" w:cs="Times New Roman"/>
                      <w:b/>
                      <w:sz w:val="24"/>
                      <w:szCs w:val="24"/>
                    </w:rPr>
                  </w:pPr>
                  <w:r w:rsidRPr="00A16A86">
                    <w:rPr>
                      <w:rFonts w:ascii="Times New Roman" w:hAnsi="Times New Roman" w:cs="Times New Roman"/>
                      <w:b/>
                      <w:sz w:val="24"/>
                      <w:szCs w:val="24"/>
                    </w:rPr>
                    <w:t>(Risk Asurance)</w:t>
                  </w:r>
                </w:p>
                <w:p w:rsidR="005F2600" w:rsidRPr="00A16A86" w:rsidRDefault="005F2600" w:rsidP="00A16A86">
                  <w:pPr>
                    <w:rPr>
                      <w:rFonts w:ascii="Times New Roman" w:hAnsi="Times New Roman" w:cs="Times New Roman"/>
                      <w:sz w:val="24"/>
                      <w:szCs w:val="24"/>
                    </w:rPr>
                  </w:pPr>
                  <w:r w:rsidRPr="00A16A86">
                    <w:rPr>
                      <w:rFonts w:ascii="Times New Roman" w:hAnsi="Times New Roman" w:cs="Times New Roman"/>
                      <w:sz w:val="24"/>
                      <w:szCs w:val="24"/>
                    </w:rPr>
                    <w:t>Kiểm toán nội bộ</w:t>
                  </w:r>
                </w:p>
              </w:txbxContent>
            </v:textbox>
          </v:rect>
        </w:pict>
      </w:r>
      <w:r w:rsidRPr="00431943">
        <w:rPr>
          <w:rFonts w:ascii="Times New Roman" w:eastAsia="Calibri" w:hAnsi="Times New Roman" w:cs="Times New Roman"/>
          <w:b/>
          <w:noProof/>
          <w:sz w:val="28"/>
          <w:szCs w:val="28"/>
        </w:rPr>
        <w:pict>
          <v:rect id="Rectangle 17" o:spid="_x0000_s1029" style="position:absolute;left:0;text-align:left;margin-left:-11.05pt;margin-top:5.85pt;width:106.95pt;height:99.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u3jKgIAAFAEAAAOAAAAZHJzL2Uyb0RvYy54bWysVNuO0zAQfUfiHyy/0zTdlm2jpqtVlyKk&#10;BVYsfIDjOImFb4zdJuXrGTvdbhd4QuTB8njGxzPnzGR9M2hFDgK8tKak+WRKiTDc1tK0Jf32dfdm&#10;SYkPzNRMWSNKehSe3mxev1r3rhAz21lVCyAIYnzRu5J2IbgiyzzvhGZ+Yp0w6GwsaBbQhDargfWI&#10;rlU2m07fZr2F2oHlwns8vRuddJPwm0bw8LlpvAhElRRzC2mFtFZxzTZrVrTAXCf5KQ32D1loJg0+&#10;eoa6Y4GRPcg/oLTkYL1twoRbndmmkVykGrCafPpbNY8dcyLVguR4d6bJ/z9Y/unwAETWJV1RYphG&#10;ib4gacy0SpD8OvLTO19g2KN7gFihd/eWf/fE2G2HYeIWwPadYDVmlcf47MWFaHi8Sqr+o60Rnu2D&#10;TVQNDegIiCSQISlyPCsihkA4Huaz5dXqGoXj6MvzfLlEI77BiqfrDnx4L6wmcVNSwOwTPDvc+zCG&#10;PoWk9K2S9U4qlQxoq60CcmDYHrv0ndD9ZZgypEeCFrNFQn7h85cQ0/T9DULLgH2upC7p8hzEisjb&#10;O1NjmqwITKpxj9UpcyIycjdqEIZqSEpdxQcir5Wtj8gs2LGtcQxx01n4SUmPLV1S/2PPQFCiPhhU&#10;Z5XP53EGkjFfXM/QgEtPdelhhiNUSQMl43YbxrnZO5Bthy/liQ1jb1HRRiaun7M6pY9tm9Q6jVic&#10;i0s7RT3/CDa/AAAA//8DAFBLAwQUAAYACAAAACEA8txUb98AAAALAQAADwAAAGRycy9kb3ducmV2&#10;LnhtbEyPTU/DMAyG70j8h8hI3Lb0QxpraToh0JA4bt2Fm9uYttAkVZNuhV+Pd4Kj/T56/bjYLWYQ&#10;Z5p876yCeB2BINs43dtWwanar7YgfECrcXCWFHyTh115e1Ngrt3FHuh8DK3gEutzVNCFMOZS+qYj&#10;g37tRrKcfbjJYOBxaqWe8MLlZpBJFG2kwd7yhQ5Heu6o+TrORkHdJyf8OVSvkcn2aXhbqs/5/UWp&#10;+7vl6RFEoCX8wXDVZ3Uo2al2s9VeDApWSRIzykG2yUBciW3Em1pB+pDGIMtC/v+h/AUAAP//AwBQ&#10;SwECLQAUAAYACAAAACEAtoM4kv4AAADhAQAAEwAAAAAAAAAAAAAAAAAAAAAAW0NvbnRlbnRfVHlw&#10;ZXNdLnhtbFBLAQItABQABgAIAAAAIQA4/SH/1gAAAJQBAAALAAAAAAAAAAAAAAAAAC8BAABfcmVs&#10;cy8ucmVsc1BLAQItABQABgAIAAAAIQBmTu3jKgIAAFAEAAAOAAAAAAAAAAAAAAAAAC4CAABkcnMv&#10;ZTJvRG9jLnhtbFBLAQItABQABgAIAAAAIQDy3FRv3wAAAAsBAAAPAAAAAAAAAAAAAAAAAIQEAABk&#10;cnMvZG93bnJldi54bWxQSwUGAAAAAAQABADzAAAAkAUAAAAA&#10;">
            <v:textbox style="mso-next-textbox:#Rectangle 17">
              <w:txbxContent>
                <w:p w:rsidR="005F2600" w:rsidRPr="00A16A86" w:rsidRDefault="005F2600" w:rsidP="00A16A86">
                  <w:pPr>
                    <w:jc w:val="center"/>
                    <w:rPr>
                      <w:rFonts w:ascii="Times New Roman" w:hAnsi="Times New Roman" w:cs="Times New Roman"/>
                      <w:b/>
                      <w:sz w:val="24"/>
                      <w:szCs w:val="24"/>
                    </w:rPr>
                  </w:pPr>
                  <w:r w:rsidRPr="00A16A86">
                    <w:rPr>
                      <w:rFonts w:ascii="Times New Roman" w:hAnsi="Times New Roman" w:cs="Times New Roman"/>
                      <w:b/>
                      <w:sz w:val="24"/>
                      <w:szCs w:val="24"/>
                    </w:rPr>
                    <w:t>LỚP THỨ NHẤT</w:t>
                  </w:r>
                </w:p>
                <w:p w:rsidR="005F2600" w:rsidRPr="00A16A86" w:rsidRDefault="005F2600" w:rsidP="00A16A86">
                  <w:pPr>
                    <w:rPr>
                      <w:rFonts w:ascii="Times New Roman" w:hAnsi="Times New Roman" w:cs="Times New Roman"/>
                      <w:b/>
                      <w:sz w:val="24"/>
                      <w:szCs w:val="24"/>
                    </w:rPr>
                  </w:pPr>
                  <w:r w:rsidRPr="00A16A86">
                    <w:rPr>
                      <w:rFonts w:ascii="Times New Roman" w:hAnsi="Times New Roman" w:cs="Times New Roman"/>
                      <w:b/>
                      <w:sz w:val="24"/>
                      <w:szCs w:val="24"/>
                    </w:rPr>
                    <w:t>(Risk taking)</w:t>
                  </w:r>
                </w:p>
                <w:p w:rsidR="005F2600" w:rsidRPr="00A16A86" w:rsidRDefault="005F2600" w:rsidP="00A16A86">
                  <w:pPr>
                    <w:rPr>
                      <w:rFonts w:ascii="Times New Roman" w:hAnsi="Times New Roman" w:cs="Times New Roman"/>
                      <w:sz w:val="24"/>
                      <w:szCs w:val="24"/>
                    </w:rPr>
                  </w:pPr>
                  <w:r w:rsidRPr="00A16A86">
                    <w:rPr>
                      <w:rFonts w:ascii="Times New Roman" w:hAnsi="Times New Roman" w:cs="Times New Roman"/>
                      <w:sz w:val="24"/>
                      <w:szCs w:val="24"/>
                    </w:rPr>
                    <w:t>Bộ phận nghiệp vụ</w:t>
                  </w:r>
                </w:p>
              </w:txbxContent>
            </v:textbox>
          </v:rect>
        </w:pict>
      </w:r>
      <w:r w:rsidRPr="00431943">
        <w:rPr>
          <w:rFonts w:ascii="Times New Roman" w:eastAsia="Calibri" w:hAnsi="Times New Roman" w:cs="Times New Roman"/>
          <w:b/>
          <w:noProof/>
          <w:sz w:val="28"/>
          <w:szCs w:val="28"/>
        </w:rPr>
        <w:pict>
          <v:rect id="Rectangle 16" o:spid="_x0000_s1030" style="position:absolute;left:0;text-align:left;margin-left:101.15pt;margin-top:5.85pt;width:101.1pt;height:99.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LBcKQ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qJQhmmU&#10;6AuSxkyrBMmvIj+98wWGPboHiBV6d2/5d0+M3XYYJm4BbN8JVmNWeYzPXlyIhserpOo/2hrh2T7Y&#10;RNXQgI6ASAIZkiLHsyJiCITjYT5bvl1do3AcfXmeL5doxDdY8XTdgQ/vhdUkbkoKmH2CZ4d7H8bQ&#10;p5CUvlWy3kmlkgFttVVADgzbY5e+E7q/DFOG9CVdLWaLhPzC5y8hpun7G4SWAftcSY1En4NYEXl7&#10;Z2pMkxWBSTXusTplTkRG7kYNwlANSal5fCDyWtn6iMyCHdsaxxA3nYWflPTY0iX1P/YMBCXqg0F1&#10;Vvl8HmcgGfPF9QwNuPRUlx5mOEKVNFAybrdhnJu9A9l2+FKe2DD2FhVtZOL6OatT+ti2Sa3TiMW5&#10;uLRT1POPYPMLAAD//wMAUEsDBBQABgAIAAAAIQDFgSGU4AAAAAsBAAAPAAAAZHJzL2Rvd25yZXYu&#10;eG1sTI9BT4NAEIXvJv6HzZh4s7uFWguyNEZTE48tvXgbYAoou0vYpUV/veNJj5P35b1vsu1senGm&#10;0XfOalguFAiylas722g4Fru7DQgf0NbYO0savsjDNr++yjCt3cXu6XwIjeAS61PU0IYwpFL6qiWD&#10;fuEGspyd3Ggw8Dk2sh7xwuWml5FSa2mws7zQ4kDPLVWfh8loKLvoiN/74lWZZBeHt7n4mN5ftL69&#10;mZ8eQQSawx8Mv/qsDjk7lW6ytRe9hkhFMaMcJOsEBBMrtboHUWqIH+IlyDyT/3/IfwAAAP//AwBQ&#10;SwECLQAUAAYACAAAACEAtoM4kv4AAADhAQAAEwAAAAAAAAAAAAAAAAAAAAAAW0NvbnRlbnRfVHlw&#10;ZXNdLnhtbFBLAQItABQABgAIAAAAIQA4/SH/1gAAAJQBAAALAAAAAAAAAAAAAAAAAC8BAABfcmVs&#10;cy8ucmVsc1BLAQItABQABgAIAAAAIQCTnLBcKQIAAFAEAAAOAAAAAAAAAAAAAAAAAC4CAABkcnMv&#10;ZTJvRG9jLnhtbFBLAQItABQABgAIAAAAIQDFgSGU4AAAAAsBAAAPAAAAAAAAAAAAAAAAAIMEAABk&#10;cnMvZG93bnJldi54bWxQSwUGAAAAAAQABADzAAAAkAUAAAAA&#10;">
            <v:textbox style="mso-next-textbox:#Rectangle 16">
              <w:txbxContent>
                <w:p w:rsidR="005F2600" w:rsidRPr="00A16A86" w:rsidRDefault="005F2600" w:rsidP="00A16A86">
                  <w:pPr>
                    <w:spacing w:after="0" w:line="240" w:lineRule="auto"/>
                    <w:jc w:val="center"/>
                    <w:rPr>
                      <w:rFonts w:ascii="Times New Roman" w:hAnsi="Times New Roman" w:cs="Times New Roman"/>
                      <w:b/>
                      <w:sz w:val="24"/>
                      <w:szCs w:val="24"/>
                    </w:rPr>
                  </w:pPr>
                  <w:r w:rsidRPr="00A16A86">
                    <w:rPr>
                      <w:rFonts w:ascii="Times New Roman" w:hAnsi="Times New Roman" w:cs="Times New Roman"/>
                      <w:b/>
                      <w:sz w:val="24"/>
                      <w:szCs w:val="24"/>
                    </w:rPr>
                    <w:t>LỚP THỨ HAI</w:t>
                  </w:r>
                </w:p>
                <w:p w:rsidR="005F2600" w:rsidRPr="00A16A86" w:rsidRDefault="005F2600" w:rsidP="00A16A86">
                  <w:pPr>
                    <w:spacing w:after="0" w:line="240" w:lineRule="auto"/>
                    <w:jc w:val="center"/>
                    <w:rPr>
                      <w:rFonts w:ascii="Times New Roman" w:hAnsi="Times New Roman" w:cs="Times New Roman"/>
                      <w:b/>
                      <w:sz w:val="24"/>
                      <w:szCs w:val="24"/>
                    </w:rPr>
                  </w:pPr>
                  <w:r w:rsidRPr="00A16A86">
                    <w:rPr>
                      <w:rFonts w:ascii="Times New Roman" w:hAnsi="Times New Roman" w:cs="Times New Roman"/>
                      <w:b/>
                      <w:sz w:val="24"/>
                      <w:szCs w:val="24"/>
                    </w:rPr>
                    <w:t>(Risk Control)</w:t>
                  </w:r>
                </w:p>
                <w:p w:rsidR="005F2600" w:rsidRPr="00A16A86" w:rsidRDefault="005F2600" w:rsidP="00A16A86">
                  <w:pPr>
                    <w:spacing w:after="0" w:line="240" w:lineRule="auto"/>
                    <w:rPr>
                      <w:rFonts w:ascii="Times New Roman" w:hAnsi="Times New Roman" w:cs="Times New Roman"/>
                      <w:sz w:val="24"/>
                      <w:szCs w:val="24"/>
                    </w:rPr>
                  </w:pPr>
                  <w:r w:rsidRPr="00A16A86">
                    <w:rPr>
                      <w:rFonts w:ascii="Times New Roman" w:hAnsi="Times New Roman" w:cs="Times New Roman"/>
                      <w:sz w:val="24"/>
                      <w:szCs w:val="24"/>
                    </w:rPr>
                    <w:t>- Quản lý rủi ro</w:t>
                  </w:r>
                </w:p>
                <w:p w:rsidR="005F2600" w:rsidRPr="00A16A86" w:rsidRDefault="005F2600" w:rsidP="00A16A86">
                  <w:pPr>
                    <w:spacing w:after="0" w:line="240" w:lineRule="auto"/>
                    <w:rPr>
                      <w:rFonts w:ascii="Times New Roman" w:hAnsi="Times New Roman" w:cs="Times New Roman"/>
                      <w:sz w:val="24"/>
                      <w:szCs w:val="24"/>
                    </w:rPr>
                  </w:pPr>
                  <w:r w:rsidRPr="00A16A86">
                    <w:rPr>
                      <w:rFonts w:ascii="Times New Roman" w:hAnsi="Times New Roman" w:cs="Times New Roman"/>
                      <w:sz w:val="24"/>
                      <w:szCs w:val="24"/>
                    </w:rPr>
                    <w:t>- Chuyên gia tính toán</w:t>
                  </w:r>
                </w:p>
                <w:p w:rsidR="005F2600" w:rsidRPr="00A16A86" w:rsidRDefault="005F2600" w:rsidP="00A16A86">
                  <w:pPr>
                    <w:spacing w:after="0" w:line="240" w:lineRule="auto"/>
                    <w:rPr>
                      <w:rFonts w:ascii="Times New Roman" w:hAnsi="Times New Roman" w:cs="Times New Roman"/>
                      <w:sz w:val="24"/>
                      <w:szCs w:val="24"/>
                    </w:rPr>
                  </w:pPr>
                  <w:r w:rsidRPr="00A16A86">
                    <w:rPr>
                      <w:rFonts w:ascii="Times New Roman" w:hAnsi="Times New Roman" w:cs="Times New Roman"/>
                      <w:sz w:val="24"/>
                      <w:szCs w:val="24"/>
                    </w:rPr>
                    <w:t>- Tuân thủ</w:t>
                  </w:r>
                </w:p>
                <w:p w:rsidR="005F2600" w:rsidRPr="00A16A86" w:rsidRDefault="005F2600" w:rsidP="00A16A86">
                  <w:pPr>
                    <w:spacing w:after="0" w:line="240" w:lineRule="auto"/>
                    <w:rPr>
                      <w:rFonts w:ascii="Times New Roman" w:hAnsi="Times New Roman" w:cs="Times New Roman"/>
                      <w:sz w:val="24"/>
                      <w:szCs w:val="24"/>
                    </w:rPr>
                  </w:pPr>
                </w:p>
              </w:txbxContent>
            </v:textbox>
          </v:rect>
        </w:pict>
      </w:r>
    </w:p>
    <w:p w:rsidR="00DF282C" w:rsidRPr="008354C2" w:rsidRDefault="00DF282C" w:rsidP="00DF282C">
      <w:pPr>
        <w:spacing w:after="0"/>
        <w:jc w:val="center"/>
        <w:rPr>
          <w:rFonts w:ascii="Times New Roman" w:eastAsia="Calibri" w:hAnsi="Times New Roman" w:cs="Times New Roman"/>
          <w:b/>
          <w:sz w:val="28"/>
          <w:szCs w:val="28"/>
        </w:rPr>
      </w:pPr>
    </w:p>
    <w:p w:rsidR="00DF282C" w:rsidRPr="008354C2" w:rsidRDefault="00DF282C" w:rsidP="00DF282C">
      <w:pPr>
        <w:spacing w:after="0"/>
        <w:jc w:val="center"/>
        <w:rPr>
          <w:rFonts w:ascii="Times New Roman" w:eastAsia="Calibri" w:hAnsi="Times New Roman" w:cs="Times New Roman"/>
          <w:b/>
          <w:sz w:val="28"/>
          <w:szCs w:val="28"/>
        </w:rPr>
      </w:pPr>
    </w:p>
    <w:p w:rsidR="00DF282C" w:rsidRPr="008354C2" w:rsidRDefault="00DF282C" w:rsidP="00DF282C">
      <w:pPr>
        <w:spacing w:after="0"/>
        <w:jc w:val="center"/>
        <w:rPr>
          <w:rFonts w:ascii="Times New Roman" w:eastAsia="Calibri" w:hAnsi="Times New Roman" w:cs="Times New Roman"/>
          <w:b/>
          <w:sz w:val="28"/>
          <w:szCs w:val="28"/>
        </w:rPr>
      </w:pPr>
    </w:p>
    <w:p w:rsidR="00DF282C" w:rsidRPr="008354C2" w:rsidRDefault="00DF282C" w:rsidP="00DF282C">
      <w:pPr>
        <w:spacing w:after="0"/>
        <w:jc w:val="center"/>
        <w:rPr>
          <w:rFonts w:ascii="Times New Roman" w:eastAsia="Calibri" w:hAnsi="Times New Roman" w:cs="Times New Roman"/>
          <w:b/>
          <w:sz w:val="28"/>
          <w:szCs w:val="28"/>
        </w:rPr>
      </w:pPr>
    </w:p>
    <w:p w:rsidR="00DF282C" w:rsidRPr="008354C2" w:rsidRDefault="00DF282C" w:rsidP="00DF282C">
      <w:pPr>
        <w:tabs>
          <w:tab w:val="left" w:pos="0"/>
        </w:tabs>
        <w:spacing w:after="0"/>
        <w:jc w:val="center"/>
        <w:rPr>
          <w:rFonts w:ascii="Times New Roman" w:eastAsia="Calibri" w:hAnsi="Times New Roman" w:cs="Times New Roman"/>
          <w:b/>
          <w:sz w:val="28"/>
          <w:szCs w:val="28"/>
        </w:rPr>
      </w:pPr>
    </w:p>
    <w:p w:rsidR="00DF282C" w:rsidRPr="008354C2" w:rsidRDefault="00DF282C" w:rsidP="00DF282C">
      <w:pPr>
        <w:tabs>
          <w:tab w:val="left" w:pos="0"/>
        </w:tabs>
        <w:spacing w:after="0"/>
        <w:jc w:val="center"/>
        <w:rPr>
          <w:rFonts w:ascii="Times New Roman" w:eastAsia="Arial" w:hAnsi="Times New Roman" w:cs="Times New Roman"/>
          <w:b/>
          <w:sz w:val="28"/>
          <w:szCs w:val="28"/>
        </w:rPr>
      </w:pPr>
    </w:p>
    <w:p w:rsidR="00D142A9" w:rsidRPr="008354C2" w:rsidRDefault="00D142A9" w:rsidP="00DF282C">
      <w:pPr>
        <w:tabs>
          <w:tab w:val="left" w:pos="0"/>
        </w:tabs>
        <w:spacing w:after="0"/>
        <w:jc w:val="center"/>
        <w:rPr>
          <w:rFonts w:ascii="Times New Roman" w:eastAsia="Calibri" w:hAnsi="Times New Roman" w:cs="Times New Roman"/>
          <w:b/>
          <w:sz w:val="28"/>
          <w:szCs w:val="28"/>
        </w:rPr>
      </w:pPr>
      <w:r w:rsidRPr="008354C2">
        <w:rPr>
          <w:rFonts w:ascii="Times New Roman" w:eastAsia="Arial" w:hAnsi="Times New Roman" w:cs="Times New Roman"/>
          <w:b/>
          <w:sz w:val="28"/>
          <w:szCs w:val="28"/>
        </w:rPr>
        <w:t xml:space="preserve">4. </w:t>
      </w:r>
      <w:r w:rsidR="0096062F" w:rsidRPr="008354C2">
        <w:rPr>
          <w:rFonts w:ascii="Times New Roman" w:eastAsia="Arial" w:hAnsi="Times New Roman" w:cs="Times New Roman"/>
          <w:b/>
          <w:sz w:val="28"/>
          <w:szCs w:val="28"/>
        </w:rPr>
        <w:t>Quy định về x</w:t>
      </w:r>
      <w:r w:rsidRPr="008354C2">
        <w:rPr>
          <w:rFonts w:ascii="Times New Roman" w:eastAsia="Arial" w:hAnsi="Times New Roman" w:cs="Times New Roman"/>
          <w:b/>
          <w:sz w:val="28"/>
          <w:szCs w:val="28"/>
        </w:rPr>
        <w:t>ây dựng, thiết kế, phát triển sản phẩm bảo hiểm</w:t>
      </w:r>
    </w:p>
    <w:p w:rsidR="00D142A9" w:rsidRPr="008354C2" w:rsidRDefault="00D142A9" w:rsidP="00D142A9">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Liên quan đến quản lý, giám sát việc xây dựng sản phẩm và định giá sản phẩm bảo hiểm, kinh nghiệm quốc tế cho thấy sự đa dạng về cách mô hình, cách thức quản lý, giám sát. Tuy nhiên, về cơ bản có thể nhóm lại thành ba xu hướng tiếp cận cụ thể như sau:</w:t>
      </w:r>
    </w:p>
    <w:p w:rsidR="00D142A9" w:rsidRPr="008354C2" w:rsidRDefault="00D142A9" w:rsidP="00D142A9">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Sản phẩm bảo hiểm (bao gồm quy tắc, điều khoản, biểu phí) phải được cơ quan quản lý phê chuẩn</w:t>
      </w:r>
      <w:r w:rsidR="006D585B" w:rsidRPr="008354C2">
        <w:rPr>
          <w:rFonts w:ascii="Times New Roman" w:eastAsia="Arial" w:hAnsi="Times New Roman" w:cs="Times New Roman"/>
          <w:sz w:val="28"/>
          <w:szCs w:val="28"/>
        </w:rPr>
        <w:t xml:space="preserve"> </w:t>
      </w:r>
      <w:r w:rsidR="006D585B" w:rsidRPr="008354C2">
        <w:rPr>
          <w:rFonts w:ascii="Times New Roman" w:eastAsia="Arial" w:hAnsi="Times New Roman"/>
          <w:sz w:val="28"/>
          <w:szCs w:val="28"/>
        </w:rPr>
        <w:t>(hoặc phải báo cáo)</w:t>
      </w:r>
      <w:r w:rsidRPr="008354C2">
        <w:rPr>
          <w:rFonts w:ascii="Times New Roman" w:eastAsia="Arial" w:hAnsi="Times New Roman" w:cs="Times New Roman"/>
          <w:sz w:val="28"/>
          <w:szCs w:val="28"/>
        </w:rPr>
        <w:t xml:space="preserve"> trước khi triển khai (product approval /file and use approach).</w:t>
      </w:r>
    </w:p>
    <w:p w:rsidR="00D142A9" w:rsidRPr="008354C2" w:rsidRDefault="00D142A9" w:rsidP="00D142A9">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Cơ quan quản lý, giám sát quy định các nguyên tắc điều chỉnh việc xây dựng và định giá sản phẩm bảo hiểm; DNBH được chủ động phát triển, triển khai sản phẩm căn cứ vào các nguyên tắc đã được quy định</w:t>
      </w:r>
      <w:r w:rsidR="006D585B" w:rsidRPr="008354C2">
        <w:rPr>
          <w:rFonts w:ascii="Times New Roman" w:eastAsia="Arial" w:hAnsi="Times New Roman" w:cs="Times New Roman"/>
          <w:sz w:val="28"/>
          <w:szCs w:val="28"/>
        </w:rPr>
        <w:t xml:space="preserve">; </w:t>
      </w:r>
      <w:r w:rsidR="006D585B" w:rsidRPr="008354C2">
        <w:rPr>
          <w:rFonts w:ascii="Times New Roman" w:eastAsia="Arial" w:hAnsi="Times New Roman"/>
          <w:sz w:val="28"/>
          <w:szCs w:val="28"/>
        </w:rPr>
        <w:t xml:space="preserve">DNBH chỉ phải báo cáo cơ quan quản lý sau khi triển khai </w:t>
      </w:r>
      <w:r w:rsidRPr="008354C2">
        <w:rPr>
          <w:rFonts w:ascii="Times New Roman" w:eastAsia="Arial" w:hAnsi="Times New Roman" w:cs="Times New Roman"/>
          <w:sz w:val="28"/>
          <w:szCs w:val="28"/>
        </w:rPr>
        <w:t xml:space="preserve"> (principle based/use and file approach).</w:t>
      </w:r>
    </w:p>
    <w:p w:rsidR="00D142A9" w:rsidRPr="008354C2" w:rsidRDefault="00D142A9" w:rsidP="00D142A9">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Kết hợp giữa cả hai cách tiếp cận (hybrid approach). Kết hợp giữa việc quản lý theo nguyên tắc và phê chuẩn sản phẩm. Việc kết hợp nayd rất đa dạng và ở nhiều cấp độ khác nhau.</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Việc cơ quan quả</w:t>
      </w:r>
      <w:r w:rsidR="002D7221" w:rsidRPr="008354C2">
        <w:rPr>
          <w:rFonts w:ascii="Times New Roman" w:eastAsia="Arial" w:hAnsi="Times New Roman" w:cs="Times New Roman"/>
          <w:sz w:val="28"/>
          <w:szCs w:val="28"/>
        </w:rPr>
        <w:t xml:space="preserve">n lý lựa </w:t>
      </w:r>
      <w:r w:rsidRPr="008354C2">
        <w:rPr>
          <w:rFonts w:ascii="Times New Roman" w:eastAsia="Arial" w:hAnsi="Times New Roman" w:cs="Times New Roman"/>
          <w:sz w:val="28"/>
          <w:szCs w:val="28"/>
        </w:rPr>
        <w:t>chọn áp dụng cách tiếp c</w:t>
      </w:r>
      <w:r w:rsidR="002D7221" w:rsidRPr="008354C2">
        <w:rPr>
          <w:rFonts w:ascii="Times New Roman" w:eastAsia="Arial" w:hAnsi="Times New Roman" w:cs="Times New Roman"/>
          <w:sz w:val="28"/>
          <w:szCs w:val="28"/>
        </w:rPr>
        <w:t>ận</w:t>
      </w:r>
      <w:r w:rsidRPr="008354C2">
        <w:rPr>
          <w:rFonts w:ascii="Times New Roman" w:eastAsia="Arial" w:hAnsi="Times New Roman" w:cs="Times New Roman"/>
          <w:sz w:val="28"/>
          <w:szCs w:val="28"/>
        </w:rPr>
        <w:t xml:space="preserve"> nào phù thuộc vào nhiều yếu tố, trong đó đáng chú ý là mức độ phát triển của thị trường bảo hiểm, môi trường pháp lý và quản lý chung của nước đó và các yếu tố mang tính lịch sử và văn hóa hình thành trong quá trình phát triển. Tuy nhiên, cũng có thể thấy một số đặc điểm chung trong cách thức quản lý, giám sát của các nước trên thế giới đối với phát triển và định giá sản phẩm bảo hiểm, cụ thể:</w:t>
      </w:r>
    </w:p>
    <w:p w:rsidR="00D142A9" w:rsidRPr="008354C2" w:rsidRDefault="00D142A9" w:rsidP="00D142A9">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Các nước cơ bản có sự quản lý chặt chẽ đối với các sản phẩm bảo hiểm bắt buộc (bao gồm sản phẩm bào hiểm bắt buộc TNDS của chủ xe cơ giới, bảo hiểm cháy nổ, bảo hiểm bồi thường cho người lao động, bảo hiểm cho một số rủi ro thiên tai cụ thể…). Cụ thể, cơ quan quản lý ban hành quy tắc điều khoản, biểu phí hoặc quy định mức phí bảo hiểm bắt buộ</w:t>
      </w:r>
      <w:r w:rsidR="00CC3136" w:rsidRPr="008354C2">
        <w:rPr>
          <w:rFonts w:ascii="Times New Roman" w:eastAsia="Arial" w:hAnsi="Times New Roman" w:cs="Times New Roman"/>
          <w:sz w:val="28"/>
          <w:szCs w:val="28"/>
        </w:rPr>
        <w:t>c</w:t>
      </w:r>
      <w:r w:rsidRPr="008354C2">
        <w:rPr>
          <w:rFonts w:ascii="Times New Roman" w:eastAsia="Arial" w:hAnsi="Times New Roman" w:cs="Times New Roman"/>
          <w:sz w:val="28"/>
          <w:szCs w:val="28"/>
        </w:rPr>
        <w:t xml:space="preserve">. </w:t>
      </w:r>
    </w:p>
    <w:p w:rsidR="00D142A9" w:rsidRPr="008354C2" w:rsidRDefault="00D142A9" w:rsidP="00D142A9">
      <w:pPr>
        <w:spacing w:after="160" w:line="360" w:lineRule="exact"/>
        <w:ind w:firstLine="720"/>
        <w:jc w:val="both"/>
        <w:rPr>
          <w:rFonts w:ascii="Times New Roman" w:eastAsia="Arial" w:hAnsi="Times New Roman"/>
          <w:sz w:val="28"/>
          <w:szCs w:val="28"/>
        </w:rPr>
      </w:pPr>
      <w:r w:rsidRPr="008354C2">
        <w:rPr>
          <w:rFonts w:ascii="Times New Roman" w:eastAsia="Arial" w:hAnsi="Times New Roman" w:cs="Times New Roman"/>
          <w:sz w:val="28"/>
          <w:szCs w:val="28"/>
        </w:rPr>
        <w:t>- Nhiều nước cũng đặt sự quan tâm nhất định đối với các sản phẩm bảo hiểm có tác động lớnvề mặt kinh tế – xã hội, các sản phẩm có thị phần doanh thu, đóng góp lớn tới hoạt động kinh doanh của DNBH như bảo hiểm nhân thọ, bảo hiểm xe cơ giới, bảo hiểm sức khỏe. Cách thức quản lý được thể hiện qua các giải pháp như quy định mức phí thuần, ph</w:t>
      </w:r>
      <w:r w:rsidR="00CC3136" w:rsidRPr="008354C2">
        <w:rPr>
          <w:rFonts w:ascii="Times New Roman" w:eastAsia="Arial" w:hAnsi="Times New Roman" w:cs="Times New Roman"/>
          <w:sz w:val="28"/>
          <w:szCs w:val="28"/>
        </w:rPr>
        <w:t>í</w:t>
      </w:r>
      <w:r w:rsidRPr="008354C2">
        <w:rPr>
          <w:rFonts w:ascii="Times New Roman" w:eastAsia="Arial" w:hAnsi="Times New Roman" w:cs="Times New Roman"/>
          <w:sz w:val="28"/>
          <w:szCs w:val="28"/>
        </w:rPr>
        <w:t xml:space="preserve"> bảo hiểm tham khảo, quy định chi tiết các yếu tố rủi ro được sử dụng để đị</w:t>
      </w:r>
      <w:r w:rsidR="00CC3136" w:rsidRPr="008354C2">
        <w:rPr>
          <w:rFonts w:ascii="Times New Roman" w:eastAsia="Arial" w:hAnsi="Times New Roman" w:cs="Times New Roman"/>
          <w:sz w:val="28"/>
          <w:szCs w:val="28"/>
        </w:rPr>
        <w:t xml:space="preserve">nh phí (risk factors); </w:t>
      </w:r>
      <w:r w:rsidR="00CC3136" w:rsidRPr="008354C2">
        <w:rPr>
          <w:rFonts w:ascii="Times New Roman" w:eastAsia="Arial" w:hAnsi="Times New Roman"/>
          <w:sz w:val="28"/>
          <w:szCs w:val="28"/>
        </w:rPr>
        <w:t xml:space="preserve">yêu cầu sản phẩm hoặc mức phí bảo hiểm phải được phê chuẩn trước khi chào bán trên thị trường. </w:t>
      </w:r>
    </w:p>
    <w:p w:rsidR="00D142A9" w:rsidRPr="008354C2" w:rsidRDefault="00D142A9" w:rsidP="00D142A9">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Một số nước phát huy vai trò của các tổ chức định phí bảo hiểm trong công tác thẩm định, phê duyệt sản phẩm bảo hiểm nhằm tận dụng tối đa ý kiến chuyên môn mang tính khách quan của các tổ chức này, giảm tải áp lực đối với cơ quan quản lý để tăng cường hiệu quả, hiệu lực của công tác quản lý, giám sát. Điển hình của mô hình này là Nhật Bản (sử dụng GIROJ- Tổ chức định phí bảo hiểm Nhật Bản), Hàn Quốc (sử dụng KIDI – Viện phát triển bảo hiểm Hàn Quốc); Vai trò của các tổ chức định phí này được luật hóa và quy trình phê chuẩn sản phẩm có sự tham gia của các tổ chức định phí độc lập được hướng dẫn cụ thể bởi cơ quan quản lý đảm bảo tính công khai, minh bạch, khách quan.</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Kinh nghiệm của một số nước được trình bày cụ thể phần dưới đây:</w:t>
      </w:r>
    </w:p>
    <w:p w:rsidR="00D142A9" w:rsidRPr="008354C2" w:rsidRDefault="00D142A9" w:rsidP="000A778A">
      <w:pPr>
        <w:spacing w:after="16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4.1. Hoa Kỳ:</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Tại Hoa Kỳ, từng tiều bang đều có quy định riêng về loại sản phẩm bảo hiểm được cung cấp và mức phi bảo hiểm mà các công ty bảo hiểm có thể áp dụng đối với những sản phẩm đó. Các quy định về mức phí và đặc tính của sản phẩm bảo hiểm cũng có sự khác biệt giữa các tiểu bang.</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Tiêu chuẩn pháp lý chung áp dụng cho các mức phí bảo hiểm ở tất cả các bang là mức phí bảo hiểm không được phép chênh lệch không tương ứng, quá mức hoặc không công bằng. Nhìn chung, các tiểu bang đều không quy định mức phí bảo hiểm bắt buộc. Thay vào đó, các công ty bảo hiểm sẽ chọn mức phí bảo hiểm mà họ dự kiến áp dụng tại một tiểu bang cụ thể  được cấp phép sau đó thông báo mức phí đó cho tiểu bang với đầy đủ cơ sở chứng minh tính hợp lệ.</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Đối với các nghiệp vụ bảo hiểm thương mại trong lĩnh vực bảo hiểm phi nhân thọ, các tiểu bang có quy định khác nhau về mức phí bảo hiểm. Một số tiểu bang yêu cầu phải  trình biểu phí bảo hiểm và phải được cơ quan quản lý bảo hiểm tiểu bang phê chuẩn trước khi áp dụng. Một số tiểu bang khác chỉ yêu cầu thông báo về biểu phí bảo hiểm. Cũng có tiểu bang lại không hề có yêu cầu đệ trình biểu phí bảo hiểm.</w:t>
      </w:r>
    </w:p>
    <w:p w:rsidR="00D142A9" w:rsidRPr="008354C2" w:rsidRDefault="00D142A9" w:rsidP="000A778A">
      <w:pPr>
        <w:spacing w:after="16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4.2. Hàn Quốc:</w:t>
      </w:r>
    </w:p>
    <w:p w:rsidR="00D142A9" w:rsidRPr="008354C2" w:rsidRDefault="00D142A9" w:rsidP="000A778A">
      <w:pPr>
        <w:spacing w:after="160" w:line="360" w:lineRule="exact"/>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Điều 129 (Nguyên tắc tính phí bảo hiểm)</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Mỗi công ty bảo hiểm sẽ tính toán các tỷ lệ phí bảo hiểm dựa trên mục tiêu và dữ liệu thống kê hợp lý, nguyên tắc hiện hành và độ tin cậy thống kê, và giám sát những vấn đề thuộc mỗi trường hợp quy định trong các phụ đoạn sau:</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Tỷ lệ phí bảo hiểm bắt buộc không phải là quá cao so với số tiền bảo hiểm và các khoản thanh toán khác; </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Tỷ lệ phí bảo hiểm được yêu cầu không phải là thấp đến mức mà có thể làm suy yếu đáng kể đến tính lành mạnh tài chính của công ty bảo hiểm; và</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Tỷ lệ phí bảo hiểm được yêu cầu không phân biệt đối xử không công bằng giữa các chủ hợp đồng bảo hiểm.</w:t>
      </w:r>
    </w:p>
    <w:p w:rsidR="00D142A9" w:rsidRPr="008354C2" w:rsidRDefault="00D142A9" w:rsidP="000A778A">
      <w:pPr>
        <w:spacing w:after="160" w:line="360" w:lineRule="exact"/>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Điều 176 (Cơ quan tính toán bảo hiểm): </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Các công ty bảo hiểm có thể thành lập cơ quan tính toán bảo hiểm để tính toán công bằng và hợp lý phí bảo hiểm (sau đây được gọi là "phí bảo hiểm ròng") để xác định phí bảo hiểm (sau đây gọi tắt là "phí bảo hiểm ròng") theo việc thanh toán tiền bảo hiểm và hiệu quả quản lý và sử dụng thông tin liên quan đến bảo hiểm sau khi được ủy quyền từ Ủy ban Dịch vụ Tài chính.  &lt;Được sửa đổi theo Luật số 8863 ngày 29 tháng 2 năm 2008&gt;</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Cơ quan tính toán bảo hiểm phải là một công ty.</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Cơ quan tính toán bảo hiểm thực hiện công việc theo mỗi đoạn dưới đây theo quy định trong Điều lệ Hiệp hội:</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Công việc tính toán, xác minh và cung cấp phí bảo hiểm thiệt hại ròng;</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Công tác thu thập và cung cấp thông tin liên quan đến bảo hiểm và thống kê;</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Công việc tiến hành các cuộc điều tra và nghiên cứu về bảo hiểm;</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Công việc được giao từ các cơ quan chính phủ, công ty bảo hiểm, tổ chức liên quan đến bảo hiểm trong phạm vi mục đích thành lập;</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Công việc khác theo quy định trong Nghị định.</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Cơ quan tính toán bảo hiểm có thể tính toán phí bảo hiểm ròng mà các công ty bảo hiểm có thể áp dụng và báo cáo phí bảo hiểm ròng cho Ủy ban Dịch vụ Tài chính.</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Trong trường hợp đó bất kỳ công ty bảo hiểm áp dụng phí bảo hiểm ròng do Cơ quan tính toán bảo hiểm xác định tại khoản (4), công ty bảo hiểm đó phải báo cáo bất kỳ thay đổi nào trong phí bảo hiểm (giới hạn phí bảo hiểm ròng) theo Điều 127.</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Mỗi công ty bảo hiểm có thể có các tài liệu cơ sở được gửi tới Ủy ban Dịch vụ Tài chính theo Luật này được xác nhận bởi Cơ quan tính toán bảo hiểm. Trong trường hợp này, tài liệu cơ sở được xác nhận bởi bất kỳ kế toán cấp cao được cấp phép theo Điều 184</w:t>
      </w:r>
      <w:r w:rsidRPr="008354C2">
        <w:rPr>
          <w:rFonts w:ascii="Times New Roman" w:eastAsia="Arial" w:hAnsi="Times New Roman" w:cs="Times New Roman"/>
          <w:sz w:val="28"/>
          <w:szCs w:val="28"/>
          <w:vertAlign w:val="superscript"/>
        </w:rPr>
        <w:footnoteReference w:id="4"/>
      </w:r>
      <w:r w:rsidRPr="008354C2">
        <w:rPr>
          <w:rFonts w:ascii="Times New Roman" w:eastAsia="Arial" w:hAnsi="Times New Roman" w:cs="Times New Roman"/>
          <w:sz w:val="28"/>
          <w:szCs w:val="28"/>
        </w:rPr>
        <w:t>.</w:t>
      </w:r>
    </w:p>
    <w:p w:rsidR="00CC3136" w:rsidRPr="008354C2" w:rsidRDefault="00D142A9" w:rsidP="00CC3136">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Cơ quan tính toán bảo hiểm có thể nhận được lệ phí từ các công ty bảo hiểm để thực hiện công việc của mình theo quy định bởi Điều lệ của Hiệp hội. Nếu cần thiết để bảo vệ quyền và lợi ích của chủ hợp đồng bảo hiểm, Cơ quan tính toán bảo hiểm có thể công bố các tài liệu theo mỗi đoạ</w:t>
      </w:r>
      <w:r w:rsidR="00CC3136" w:rsidRPr="008354C2">
        <w:rPr>
          <w:rFonts w:ascii="Times New Roman" w:eastAsia="Arial" w:hAnsi="Times New Roman" w:cs="Times New Roman"/>
          <w:sz w:val="28"/>
          <w:szCs w:val="28"/>
        </w:rPr>
        <w:t>n sau đây:</w:t>
      </w:r>
    </w:p>
    <w:p w:rsidR="00D142A9" w:rsidRPr="008354C2" w:rsidRDefault="00D142A9" w:rsidP="00CC3136">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Tài liệu liên quan đến việc tính toán phí bảo hiểm ròng và</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Tài liệu liên quan đến khảo sát, nghiên cứu và thống kê khác nhau liên quan đến bảo hiểm.</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Nếu cần thiết để tính toán phí bảo hiểm ròng, Cơ quan tính toán bảo hiểm thu thập thông tin cá nhân về vi phạm các hành vi liên quan đến Luật và các quy định từ các người đứng đầu cơ quan giữ các thông tin cá nhân đó và cho phép các công ty sử dụng thông tin cá nhân để tính toán phí bảo hiểm ròng được áp dụng cho chủ hợp đồng bảo hiểm.</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Nếu cần thiết để tính toán phí bảo hiểm ròng, Cơ quan tính toán bảo hiểm có thể thu thâp số liệu thống kê về bệnh tật từ người đứng đầu của các tổ chức mà nắm giữ thống kê như vậy và cho phép các công ty bảo hiểm sử dụng các số liệu thống kê để tính toán phí bảo hiểm được áp dụng cho chủ sở hữu hợp đồng.</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Cơ quan tính toán bảo hiểm bị cấm cung cấp các thông tin cá nhân mà Viện thu thập được từ các cơ quan khác hoặc các tổ chức theo Luật này và các Luật khác cho bất kỳ người nào khác ngoại trừ trường hợp theo mỗi phụ đoạn sau: &lt;Được sửa đổi theo Luật số 8520 ngày 19 tháng 2 năm 2007&gt;</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Trường hợp cần thiết để các công ty bảo hiểm tính toán phí bảo hiểm ròng;</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Khi thông tin cá nhân được cung cấp cho bất kỳ người nào theo các căn cứ được quy định trong mỗi phụ đoạn của Điều 24 (1) của Luật sử dụng và bảo vệ thông tin tín dụng;</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Trường hợp cần thiết để thực hiện các công việc được giao phó bởi các cơ quan quản lý và</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Trường hợp cần thiết để thực hiện công việc của Cơ quan tính toán bảo hiểm theo Luật này, được quy định trong Nghị định.</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Những vấn đề cần thiết liên quan đến phạm vi, thủ tục và phương pháp việc sử dụng thông tin cá nhân thu được theo khoản (9) và các số liệu thống kê về bệnh tật được thu được theo khoản (10) của Cơ quan tính toán bảo hiểm được quy định trong Nghị định Nghị định.</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(13) Những vấn đề cần thiết liên quan đến thủ tục và phương pháp, v.v. cung cấp thông tin cá nhân theo khoản (11) bởi Cơ quan tính toán bảo hiểm được quy định trong Nghị định Nghị định.</w:t>
      </w:r>
    </w:p>
    <w:p w:rsidR="00D142A9" w:rsidRPr="008354C2" w:rsidRDefault="00D142A9" w:rsidP="000A778A">
      <w:pPr>
        <w:spacing w:after="16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4.3. Nhật Bản:</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Quy định mức phí bảo hiểm theo nguyên tắc: phù hợp, hợp lý, không phân biệt; quy định các yếu tố rủi ro các DNBH được phép áp dụng khi tính phí bảo hiểm sản phẩm sức khỏe, xe cơ giới...Ngoài ra, Tổ chức định phí bảo hiểm phi nhân thọ (GIROJ) cũng hỗ trợ cơ quan quản lý trong việc phê chuẩn, giám sát phí bảo hiểm đối với một số sản phẩm bảo hiểm như ban hành phí bảo hiểm bắt buộc TNDS của chủ xe cơ giới; ban hành phí thuần các sản phẩm bảo hiểm xe cơ giới, tai nạn…(vẫn thực hiện phê chuẩn sản phẩm); rà soát cho ý kiến về phương pháp, cơ sở tính phí các sản phẩm yêu cầu phải được cơ quan quản lý phê chuẩn.</w:t>
      </w:r>
    </w:p>
    <w:p w:rsidR="00D142A9" w:rsidRPr="008354C2" w:rsidRDefault="00D142A9" w:rsidP="000A778A">
      <w:pPr>
        <w:spacing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 xml:space="preserve">5. </w:t>
      </w:r>
      <w:r w:rsidR="008044FE" w:rsidRPr="008354C2">
        <w:rPr>
          <w:rFonts w:ascii="Times New Roman" w:eastAsia="Arial" w:hAnsi="Times New Roman" w:cs="Times New Roman"/>
          <w:b/>
          <w:sz w:val="28"/>
          <w:szCs w:val="28"/>
        </w:rPr>
        <w:t>Quy định v</w:t>
      </w:r>
      <w:r w:rsidRPr="008354C2">
        <w:rPr>
          <w:rFonts w:ascii="Times New Roman" w:eastAsia="Arial" w:hAnsi="Times New Roman" w:cs="Times New Roman"/>
          <w:b/>
          <w:sz w:val="28"/>
          <w:szCs w:val="28"/>
        </w:rPr>
        <w:t>ề Quỹ rủi ro bảo hiểm</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rủi ro bảo hiểm là "Tập hợp rủi ro bảo hiểm, tái bảo hiểm (risk pool) là hình thức chung chịu rủi ro của các doanh nghiệp bảo hiểm, doanh nghiệp tái bảo hiểm hoặc các thành viên quỹ/thuộc nhóm/tập hợp. Các quỹ này/tập hợp rủi ro này do (các) công ty bảo hiểm, tái bảo hiểm quản lý thông qua việc thiết lập các thỏa thuận hoặc bộ máy. Thông qua quỹ này, các doanh nghiệp bảo hiểm, tái bảo hiểm hoặc các thành viên chia sẻ và chuyển giao rủi ro, qua đó chia sẻ doanh thu phí bảo hiểm, chi phí bồi thường  và chi phí quản lý đối với những rủi ro mang tính chất thảm họa như thiên tai, dịch bệnh hoặc các rủi ro dưới chuẩn” (</w:t>
      </w:r>
      <w:r w:rsidR="00CC3136" w:rsidRPr="008354C2">
        <w:rPr>
          <w:rFonts w:ascii="Times New Roman" w:eastAsia="Arial" w:hAnsi="Times New Roman" w:cs="Times New Roman"/>
          <w:sz w:val="28"/>
          <w:szCs w:val="28"/>
        </w:rPr>
        <w:t>theo WB</w:t>
      </w:r>
      <w:r w:rsidRPr="008354C2">
        <w:rPr>
          <w:rFonts w:ascii="Times New Roman" w:eastAsia="Arial" w:hAnsi="Times New Roman" w:cs="Times New Roman"/>
          <w:sz w:val="28"/>
          <w:szCs w:val="28"/>
        </w:rPr>
        <w:t>).</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Doanh nghiệp bảo hiểm, doanh nghiệp tái bảo hiểm có thể thỏa thuận hợp tác theo cơ chế tập hợp rủi ro để bảo hiểm cho những rủi ro lớn, rủi ro mang tính thảm họa hoặc rủi ro mới phát sinh mà ít được bảo hiểm trên thị trường. </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Bên cạnh đó, nhằm mục tiêu chuyển giao các rủi ro thảm họa cấp quốc gia và khu vực, Chính phủ các nước có thể chủ động thành lập thành lập các Quỹ rủi ro bảo hiểm công cộng cấp quốc gia hoặc cấp khu vực (sovereign pool) ví dụ như </w:t>
      </w:r>
      <w:r w:rsidR="0093237E" w:rsidRPr="008354C2">
        <w:rPr>
          <w:rFonts w:ascii="Times New Roman" w:eastAsia="Arial" w:hAnsi="Times New Roman" w:cs="Times New Roman"/>
          <w:sz w:val="28"/>
          <w:szCs w:val="28"/>
        </w:rPr>
        <w:t xml:space="preserve">Quỹ </w:t>
      </w:r>
      <w:r w:rsidRPr="008354C2">
        <w:rPr>
          <w:rFonts w:ascii="Times New Roman" w:eastAsia="Arial" w:hAnsi="Times New Roman" w:cs="Times New Roman"/>
          <w:sz w:val="28"/>
          <w:szCs w:val="28"/>
        </w:rPr>
        <w:t xml:space="preserve">CCRIF của 14 nước khu vực Caribê, </w:t>
      </w:r>
      <w:r w:rsidR="0093237E" w:rsidRPr="008354C2">
        <w:rPr>
          <w:rFonts w:ascii="Times New Roman" w:eastAsia="Arial" w:hAnsi="Times New Roman"/>
          <w:sz w:val="28"/>
          <w:szCs w:val="28"/>
        </w:rPr>
        <w:t xml:space="preserve">Quỹ GFDRR của các quốc đảo Thái Bình Dương, </w:t>
      </w:r>
      <w:r w:rsidRPr="008354C2">
        <w:rPr>
          <w:rFonts w:ascii="Times New Roman" w:eastAsia="Arial" w:hAnsi="Times New Roman" w:cs="Times New Roman"/>
          <w:sz w:val="28"/>
          <w:szCs w:val="28"/>
        </w:rPr>
        <w:t>Quỹ SEDRIF của các nước ASEAN…</w:t>
      </w:r>
    </w:p>
    <w:p w:rsidR="00D142A9" w:rsidRPr="008354C2" w:rsidRDefault="00D142A9" w:rsidP="000A778A">
      <w:pPr>
        <w:spacing w:after="160" w:line="360" w:lineRule="exact"/>
        <w:jc w:val="both"/>
        <w:rPr>
          <w:rFonts w:ascii="Times New Roman" w:eastAsia="Arial" w:hAnsi="Times New Roman" w:cs="Times New Roman"/>
          <w:b/>
          <w:i/>
          <w:sz w:val="28"/>
          <w:szCs w:val="28"/>
        </w:rPr>
      </w:pPr>
      <w:r w:rsidRPr="008354C2">
        <w:rPr>
          <w:rFonts w:ascii="Times New Roman" w:eastAsia="Arial" w:hAnsi="Times New Roman" w:cs="Times New Roman"/>
          <w:b/>
          <w:i/>
          <w:sz w:val="28"/>
          <w:szCs w:val="28"/>
        </w:rPr>
        <w:t>Lý do thành lập Quỹ rủi ro bảo hiểm (risk pool):</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Tập hợp rủi ro tạo thành danh mục rủi ro đa dạng </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Giữ lại một số rủi ro thông qua việc kết hợp dự phòng hoặc vốn</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Khi thích hợp, chuyển giao rủi ro qua thị trường vốn và tái bảo hiểm </w:t>
      </w:r>
    </w:p>
    <w:p w:rsidR="00D142A9" w:rsidRPr="008354C2" w:rsidRDefault="00D142A9" w:rsidP="000A778A">
      <w:pPr>
        <w:spacing w:after="160" w:line="360" w:lineRule="exact"/>
        <w:jc w:val="both"/>
        <w:rPr>
          <w:rFonts w:ascii="Times New Roman" w:eastAsia="Arial" w:hAnsi="Times New Roman" w:cs="Times New Roman"/>
          <w:b/>
          <w:i/>
          <w:sz w:val="28"/>
          <w:szCs w:val="28"/>
        </w:rPr>
      </w:pPr>
      <w:r w:rsidRPr="008354C2">
        <w:rPr>
          <w:rFonts w:ascii="Times New Roman" w:eastAsia="Arial" w:hAnsi="Times New Roman" w:cs="Times New Roman"/>
          <w:b/>
          <w:i/>
          <w:sz w:val="28"/>
          <w:szCs w:val="28"/>
        </w:rPr>
        <w:t xml:space="preserve">Lợi ích và hạn chế của pools: </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Lợi ích: Đạt được lợi ích kinh tế về mặt quy mô (giảm chi phí cố định), đa dạng hóa rủi ro, danh mục (portfolio) cân bằng, chia sẻ chi phí nghiên cứu và phát triển sản phẩm (tính phí rủi ro), giảm phí khai thác, kiểm soát bồi thường và giám định rủi ro, có lợi thế trong đàm phán dịch vụ tái bảo hiểm, giảm phí tái bảo hiểm, phí môi giới, phí giao dịch.</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Hạn chế: tính đa dạng của sản phẩm và dịch vụ bị hạn chế, các loại rủi ro được bảo hiểm.</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Pool được áp dụng ở nhiều quốc gia, khu vực trên thế giới, đặc biệt những nơi thường xuyên xảy ra thiên tai. Một số risk pool điển hình ở một số nước là TCIP của Thổ Nhĩ Kỳ, PTMaipark của Indonesia (bảo hiểm động đất), JER của Nhật Bản (bảo hiểm động đất, núi lửa, sóng thần), FONDEN của Mexico (bảo hiểm thiên tai địa, khí tượng), GSIS của Philippines (bảo hiểm thiên tai). Ngoài ra còn có các risk pool theo khu vực như CCRIF của 14 nước khu vực Caribê bảo hiểm cho động đất và bão. </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Theo thống kế của EU, có vào khoảng trên 40 pool đang hoạt động tại các nước EU, chủ yếu tập trung vào các loại hình rủi ro có tính chất thảm họa như năng lượng nguyên tử, thiên tai, môi trường mà đơn lẻ các DNBH không đủ năng lực để nhận bảo hiểm; hoặc là các Pool về bảo hiểm trách nhiệm dân sự của chủ xe cơ giới để nhận bảo hiểm đối với các xe cơ giới có rủi ro quá cao không DNBH nào nhận bảo hiểm.; hoặc để nhận bảo hiểm đối với các loại hình rủi ro mới như rủi ro khủng bố.</w:t>
      </w:r>
    </w:p>
    <w:p w:rsidR="00D142A9" w:rsidRPr="008354C2" w:rsidRDefault="00D142A9"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Pool bảo hiểm về nông nghiệp cũng khá phổ biến. Theo báo cáo của ngân hàng thế giới, tại Trung Quốc hiện đạng triển khai 2 pool về bảo hiểm nông nghiệp tại các tỉnh Hắc Long Giang và Hải Nam;  Pool bảo hiểm nông nghiệp cũng đang được triển khai tại các nước như Argentina, Tây Ban Nha, Thổ Nhĩ Kỳ, Phillipines, Ucraina…</w:t>
      </w:r>
    </w:p>
    <w:p w:rsidR="00462927" w:rsidRPr="008354C2" w:rsidRDefault="00462927" w:rsidP="000A778A">
      <w:pPr>
        <w:spacing w:after="16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 xml:space="preserve">6. </w:t>
      </w:r>
      <w:r w:rsidR="008044FE" w:rsidRPr="008354C2">
        <w:rPr>
          <w:rFonts w:ascii="Times New Roman" w:eastAsia="Arial" w:hAnsi="Times New Roman" w:cs="Times New Roman"/>
          <w:b/>
          <w:sz w:val="28"/>
          <w:szCs w:val="28"/>
        </w:rPr>
        <w:t>Quy định v</w:t>
      </w:r>
      <w:r w:rsidRPr="008354C2">
        <w:rPr>
          <w:rFonts w:ascii="Times New Roman" w:eastAsia="Arial" w:hAnsi="Times New Roman" w:cs="Times New Roman"/>
          <w:b/>
          <w:sz w:val="28"/>
          <w:szCs w:val="28"/>
        </w:rPr>
        <w:t>ề hoạt độ</w:t>
      </w:r>
      <w:r w:rsidR="00D203FF" w:rsidRPr="008354C2">
        <w:rPr>
          <w:rFonts w:ascii="Times New Roman" w:eastAsia="Arial" w:hAnsi="Times New Roman" w:cs="Times New Roman"/>
          <w:b/>
          <w:sz w:val="28"/>
          <w:szCs w:val="28"/>
        </w:rPr>
        <w:t>ng thuê ngoài</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Theo quy định của EU, thuê ngoài là việc thỏa thuận giữa doanh nghiệp bảo hiểm/doanh nghiệp tái bảo hiểm và bên thứ ba cung cấp dịch vụ, qua đó bên cung cấp dịch vụ triển khai thực hiện một cách trực tiếp hoặc thông qua nhà thầu phụ các hoạt động, các quy trình nghiệp vụ vỗn dĩ được thực hiện bởi doanh nghiệp bảo hiểm/doanh nghiệp tái bảo hiểm.</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Nhằm mục tiêu tối ưu hóa hiệu quả kinh doanh, việc các doanh nghiệp bảo hiểm hiện nay sử dụng dịch vụ thuê ngoài là xu thế tất yếu nhằm tận dụng quá trình chuyên môn hóa ngày càng cao trên thị trường bảo hiểm. Tuy nhiên, trong khi việc sử dung dụng dịch vụ thuê ngoài mang lại những cơ hội mới của cho từng DNBH nói riêng và thị trường bảo hiêm nói chung, xu thế này cũng đặt ra những thách thức cho các cơ quan quản lý, giám sát bảo hiểm trong việc bảo vệ quyền lợi của người tham gia bảo hiểm và đảm bảo sự phát triển lành mạnh và bền vững của thị trường bảo hiểm.</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Trước những thách thức đấy, các cơ quan quản lý bảo hiểm trên thế giới đã xây dựng, ban hành các quy định liên quan đến hoạt động thuê ngoài của DNBH. Tổng hợp kinh nghiệm của các nước cho thấy một số điểm nổi bật như sau:</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Đối với các hoạt động thuê ngoài, doanh nghiệp bảo hiểm vẫn là người chịu trách cuối cùng và duy nhất đối với người tham gia bảo hiểm.</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Cơ quan quản lý, giám sát không cấm hoạt động thuê ngoài, tuy nhiên cơ quan quản lý bảo hiểm có thế loại trừ thuê ngoài đối với các hoạt động cốt lõi của hoạt động kinh doanh bảo hiểm (core business). </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Phạm vi của các hoạt động cơ bản bị loại trừ thuê ngoài tùy vào diều kiện phát triển của thị trường bảo hiểm, các yếu tố liên quan đến môi trường pháp lý (quy định pháp luật liên quan, chếtài và năng lực giám sát thực thi), kinh doanh…Tuy nhiên, khá nhiều nước áp dụng loại trừ đối với các hoạt động liên quan đến hoạt động quản trị rủi ro, kiểm soát nội bộ và kiểm toán nội bộ.</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Bên cạnh các nôi dung loại trừ, quy định quản lý tập trung vào các nội dung yêu cầu đối với DNBH phải đảm bảo:</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Phải có chinh sách đối với hoạt động thuê ngoài do cấp có thẩm quyền ban hành (thông thường là do HĐQT ban hành).</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Bảo mật thông tin liên quan đến khách hàng (thông tin của DNBH và thông tin của người tham gia bảo hiểm).</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Phải có các phướng án, giải pháp dự phòng trong trường hợp bên cung cấp dịch vụ thuê ngoài đổ vỡ hoặc không thực hiện cung cấp dịch vụ theo thảo thuận.</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Có cơ chế đảm bảo năng lực của bên cung cấp dịch vụ; cơ chế tiếp cận thông tin và kiểm tra, giám sát bên cung cấp dịch vụ trong quá trình việc thực hiện thỏa thuận thuê ngoài.</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Ngoài ra, quy định của các nước còn có nội dung liên quan đến việc đảm bảo cơ sở cho việc kiểm tra, giám sát của cơ quan quản lý thông qua cơ chế báo cáo; quy định về nội dung hợp đồng, thỏa thuận thuê ngoài. </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Kinh nghiệm về quản lý hoạt động thuê ngoài của một số nước được trình bày cụ thể dưới đây:</w:t>
      </w:r>
    </w:p>
    <w:p w:rsidR="00462927" w:rsidRPr="008354C2" w:rsidRDefault="000A778A" w:rsidP="000A778A">
      <w:pPr>
        <w:spacing w:after="16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627794" w:rsidRPr="008354C2">
        <w:rPr>
          <w:rFonts w:ascii="Times New Roman" w:eastAsia="Arial" w:hAnsi="Times New Roman" w:cs="Times New Roman"/>
          <w:b/>
          <w:sz w:val="28"/>
          <w:szCs w:val="28"/>
        </w:rPr>
        <w:t>.1. Singapore</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Hướng dẫn thuê ngoài 27/7/2016 (cập nhật vào ngày 5/10/2018)</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Tại Singapore, các hoạt động được phép thuê ngoài hỗ trợ cho công ty bảo hiểm bao gồm rất nhiều hoạt động, trong đó có cả các dịch vụ chuyên môn trọng yếu liên quan đến  hoạt động kinh doanh của tổ chức (ví dụ: kế toán, kiểm toán nội bộ, định giá (actuarial), quản trị rủi ro, tuân thủ). Singapore cho phép thuê ngoài bên ngoài lãnh thổ Singapore với những điều kiện nhất định </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Định nghĩa "thỏa thuận thuê ngoài" có nghĩa là thỏa thuận trong đó một nhà cung cấp dịch vụ cung cấp cho tổ chức một dịch vụ để tổ chức thực hiện ngay hoặc có thể thực hiện và bao gồm các đặc điểm sau đây:</w:t>
      </w:r>
    </w:p>
    <w:p w:rsidR="00462927" w:rsidRPr="008354C2" w:rsidRDefault="00462927" w:rsidP="000A778A">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Tổ chức phụ thuộc vào dịch vụ trên cơ sở liên tục; và</w:t>
      </w:r>
    </w:p>
    <w:p w:rsidR="00462927" w:rsidRPr="008354C2" w:rsidRDefault="00462927" w:rsidP="000A778A">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Dịch vụ là không tách rời việc cung cấp dịch vụ tài chính của tổ chức hoặc dịch vụ được cung cấp cho thị trường bởi nhà cung cấp dịch vụ nhân danh tổ chức;</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Doanh nghiệp cần duy trì đăng ký cập nhật tất cả các thỏa thuận thuê ngoài hiện có theo mẫu trên website của MAS.</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Tương tự với Úc, Canada, và Malaysia, cơ quan quản lý Singapore cũng ban hành quy tắc về thuê ngoài hoạt động hỗ trợ cho công ty bảo hiểm.  Một số quy tắc nổi bật:</w:t>
      </w:r>
    </w:p>
    <w:p w:rsidR="00462927" w:rsidRPr="008354C2" w:rsidRDefault="00462927" w:rsidP="00627794">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Công ty bảo hiểm phải ban hành quy chế về quản lý rủi ro đối với hoạt động thuê ngoài.</w:t>
      </w:r>
    </w:p>
    <w:p w:rsidR="00462927" w:rsidRPr="008354C2" w:rsidRDefault="00462927" w:rsidP="00627794">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Phải đánh giá, thẩm định năng lực của nhà cung cấp dịch vụ.</w:t>
      </w:r>
    </w:p>
    <w:p w:rsidR="00462927" w:rsidRPr="008354C2" w:rsidRDefault="00462927" w:rsidP="00627794">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Phải có hợp đồng thuê ngoài và có các điều khoản tối thiểu theo quy định của cơ quan quản lý.</w:t>
      </w:r>
    </w:p>
    <w:p w:rsidR="00462927" w:rsidRPr="008354C2" w:rsidRDefault="00462927" w:rsidP="00627794">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Hàng năm hoặc đột xuất, công ty bảo hiểm phải nộp báo cáo về hợp đồng thuê ngoài cho cơ quan quản lý.</w:t>
      </w:r>
    </w:p>
    <w:p w:rsidR="00462927" w:rsidRPr="008354C2" w:rsidRDefault="00462927" w:rsidP="00627794">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Phải thông báo cho cơ quan quản lý nếu hoạt động thuê ngoài có sự cố, ảnh hưởng đáng kể đến khả năng cung cấp dịch vụ của công ty bảo hiểm. </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Singapore cho phép thuê ngoài, bao gồm thuê công ty cung cấp dịch vụ ở nước ngoài, thuê trong nội bộ tập đoàn.</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Doanh nghiệp bảo hiểm phải áp dụng khuôn khổ quản lý rủi ro lành mạnh và đáp ứng đối với các thỏa thuận thuê ngoài, tiến hành thẩm định (due diligence) đối với các nhà cung cấp dịch vụ và thực hiện các quy trình và kiểm soát nội bộ hợp lý để đánh giá và quản lý rủi ro của họ.</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Tất cả các thỏa thuận thuê ngoài phải được thỏa thuận bằng văn bản và có các điều khoản cụ thể tối thiểu bao gồm: yêu cầu về an toàn và bảo mật, tính liên tục của hoạt động kinh doanh, kiểm toán và kiểm tra và thông báo về các diễn biến bất lợi. Các thỏa thuận thuê ngoài trọng yếu có các yêu cầu cam kết bổ sung bao gồm quyền kiểm toán bắt buộc và cơ quan quản lý có quyền tiếp cận thông tin.</w:t>
      </w:r>
    </w:p>
    <w:p w:rsidR="00462927" w:rsidRPr="008354C2" w:rsidRDefault="00462927" w:rsidP="000A778A">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Doanh nghiệp bảo hiểm phải lưu giữ hồ sơ đăng ký các thỏa thuận thuê ngoài và nộp báo cáo ít nhất hàng năm hoặc theo yêu cầu cho MAS. Công ty bảo hiểm phải thông báo cho MAS về bất kỳ diễn biến bất lợi nào phát sinh từ các thỏa thuận thuê ngoài của mình.</w:t>
      </w:r>
    </w:p>
    <w:p w:rsidR="00462927" w:rsidRPr="008354C2" w:rsidRDefault="00627794" w:rsidP="00627794">
      <w:pPr>
        <w:spacing w:after="16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.2. Ấn Độ</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về hoạt động thuê ngoài của IDRA (20/4/2017)</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Có quy định về hoạt động thuê ngoài. Một số hoạt động thuê ngoài bị cấm là: Đầu tư và các hoạt động liên quan, quản lý quỹ và tính toán giá trị đơn vị quỹ (NAV), hoạt động tuân thủ tính toán nợ và tài sản (AML) và hoạt động KYC (xác thực khách hàng), thiết kế sản phẩm, các hoạt động về định phí (actuarial) và quản trị rủi ro doanh nghiệp, các quyết định liên quan đến khai thác và chi trả quyền lợi bồi thường bảo hiểm trừ các quyết định liên quan đến quyền lợi sống sót (tử vong) bảo hiểm nhân thọ, quyết định chỉ định đại lý bảo hiểm và giám định tổn thất, khiếu nại của chủ hợp đồng.</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Các hoạt động thuê ngoài được coi là trọng yếu khi chiếm hơn 5% tổng chi phí hoạt động thuê ngoài của năm tài chính trước đó của doanh nghiệp.</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Quyền hạn của CQQL: Được kiểm tra sổ sách, giấy tờ liên quan đến hoạt động thuê ngoài, các báo cáo kiểm toán độc lập, kiểm toán nội bộ về những phát hiện liên quan đến hoạt động thuê ngoài.</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về thuê ngoài 2017 áp dụng cho tất cả các công ty bảo hiểm đã đăng ký với IRDA, ngoại trừ những công ty tham gia kinh doanh tái bảo hiểm. Nếu doanh nghiệp bảo hiểm tham gia vào cả lĩnh vực bảo hiểm trực tiếp và kinh doanh tái bảo hiểm, thì các quy định này chỉ áp dụng đối với hoạt động kinh doanh bảo hiểm trực tiếp của các doanh nghiệp bảo hiểm đó. Doanh nghiệp bảo hiểm bị cấm thuê ngoài các hoạt động sau đây dưới bất kỳ hình thức nào</w:t>
      </w:r>
      <w:r w:rsidR="00627794" w:rsidRPr="008354C2">
        <w:rPr>
          <w:rFonts w:ascii="Times New Roman" w:eastAsia="Arial" w:hAnsi="Times New Roman" w:cs="Times New Roman"/>
          <w:sz w:val="28"/>
          <w:szCs w:val="28"/>
        </w:rPr>
        <w:t>:</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Đầu tư và các chức năng liên quan.</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Quản lý Quỹ bao gồm tính toán NAV.</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Tuân thủ AML và KYC.</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Thiết kế sản phẩm, tất cả các chức năng tính toán và quản lý rủi ro toàn doanh nghiệp.</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Ra quyết định trong các chức năng Bảo lãnh phát hành và Yêu cầu bồi thường, không bao gồm các hoạt động thủ tục liên quan đến việc thanh toán các yêu cầu Quyền lợi Sinh tồn trong Bảo hiểm Nhân thọ.</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Quyết định bổ nhiệm Đại lý bảo hiểm, Giám định viên và Giám định tổn thất.</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Phê duyệt các quảng cáo.</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Giải quyết Khiếu nại của Bên mua bảo hiểm.</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Các Quy định về Thuê ngoài được áp dụng cho tất cả các thỏa thuận thuê ngoài hiện có. Việc áp dụng phải được sửa đổi một cách thích hợp để thỏa thuận đó tuân thủ các Quy định về Thuê ngoài này trong vòng 180 ngày kể từ ngày Quy chế Thuê ngoài có hiệu lực. Tất cả các thỏa thuận không tuân thủ Quy định về Thuê ngoài trong vòng 180 ngày kể từ ngày Quy định về Thuê ngoài có hiệu lực sẽ tự động bị coi là chấm dứt và nhà cung cấp dịch vụ thuê ngoài sẽ không phải trả khoản bồi thường nào nếu tiếp tục các dịch vụ đó sau thời hạn đó.</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Ban giám đốc của công ty bảo hiểm sẽ đưa ra chính sách thuê ngoài chi phối khuôn khổ cho việc đánh giá rủi ro trong hoạt động thuê ngoài, (ii) các thông số để xác định tính trọng yếu, phân tích lợi ích chi phí của từng hoạt động thuê ngoài và (iii) ) chính sách quản lý xung đột đảm bảo tuân thủ các quy định về giao dịch của các bên liên quan như được quy định trong Đạo luật Công ty, 2013.</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Hội đồng quản trị của doanh nghiệp bảo hiểm sẽ thành lập một ban thuê ngoài bao gồm những người quản lý chủ chốt của doanh nghiệp bảo hiểm và tối thiểu phải bao gồm</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Giám đốc rủi ro, Giám đốc tài chính và Giám đốc hoạt động. Các quy định cũng đưa ra trách nhiệm của ủy ban thuê ngoài.</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Các hợp đồng thuê ngoài phải có một số điều khoản hoặc điều kiện được liệt kê dưới đây, nếu có thể áp dụng</w:t>
      </w:r>
      <w:r w:rsidR="00627794" w:rsidRPr="008354C2">
        <w:rPr>
          <w:rFonts w:ascii="Times New Roman" w:eastAsia="Arial" w:hAnsi="Times New Roman" w:cs="Times New Roman"/>
          <w:sz w:val="28"/>
          <w:szCs w:val="28"/>
        </w:rPr>
        <w:t>:</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Quyền sở hữu thông tin và tài sản, công nghệ thông tin, bảo mật dữ liệu và bảo vệ thông tin bí mật.</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Bảo đảm hoặc bồi thường từ nhà cung cấp dịch vụ thuê ngoài.</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Lập kế hoạch dự phòng của nhà cung cấp dịch vụ thuê ngoài.</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Thể hiện điều khoản rằng hợp đồng sẽ không ngăn cản hoặc cản trở Công ty bảo hiểm thực hiện các nghĩa vụ quy định tương ứng của mình, cũng như cơ quan quản lý thực hiện quyền hạn theo quy định của mình trong việc tiến hành kiểm tra, điều tra, thu thập thông tin từ công ty bảo hiểm hoặc nhà cung cấp dịch vụ thuê ngoài.</w:t>
      </w:r>
    </w:p>
    <w:p w:rsidR="00462927" w:rsidRPr="008354C2" w:rsidRDefault="00462927"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Điều khoản chấm dứt quy định việc bàn giao dữ liệu, tài sản, v.v. có trật tự.</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Doanh nghiệp bảo hiểm phải đảm bảo rằng nhà cung cấp dịch vụ thuê ngoài sẽ không ký hợp đồng lại toàn bộ hoặc một phần quan trọng của bất kỳ hoạt động thuê ngoài nào.</w:t>
      </w:r>
    </w:p>
    <w:p w:rsidR="00462927" w:rsidRPr="008354C2" w:rsidRDefault="00462927" w:rsidP="00627794">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Doanh nghiệp bảo hiểm phải báo cáo tất cả các thỏa thuận thuê ngoài trong đó chi trả hàng năm cho mỗi nhà cung cấp dịch vụ thuê ngoài hoặc cho mỗi hoạt động là INR một crore trở lên, hàng năm trong vòng 45 ngày kể từ ngày kết thúc năm tài chính.</w:t>
      </w:r>
    </w:p>
    <w:p w:rsidR="00462927" w:rsidRPr="008354C2" w:rsidRDefault="00462927" w:rsidP="00627794">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Regulatory sandbox</w:t>
      </w:r>
    </w:p>
    <w:p w:rsidR="00462927" w:rsidRPr="008354C2" w:rsidRDefault="00462927" w:rsidP="00627794">
      <w:pPr>
        <w:spacing w:after="16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Thúc đẩy sự thâm nhập của fintech trong lĩnh vực bảo hiểm, IRDA đã tạo ra “Regulatory sandbox” để sử dụng các ý tưởng đổi mới nhằm thúc đẩy tăng trưởng và tăng tốc độ của hầu hết các công ty đổi mới, theo cách cung cấp sự linh hoạt trong việc giải quyết các yêu cầu quy định và đồng thời tập trung vào bảo vệ chủ hợp đồng. Theo đó, IRDA đã thông báo về Quy định của IRDA (Regulatory sandbox), năm 2019, phác thảo quy trình cần tuân theo khi thực hiện chương trình 'đổi mới trong bảo hiểm'.</w:t>
      </w:r>
    </w:p>
    <w:p w:rsidR="00462927" w:rsidRPr="008354C2" w:rsidRDefault="00627794" w:rsidP="00627794">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6.3. Úc</w:t>
      </w:r>
    </w:p>
    <w:p w:rsidR="00462927" w:rsidRPr="008354C2" w:rsidRDefault="00462927" w:rsidP="00627794">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về thuê ngoài của công ty bảo hiểm do Cơ quan Quản lý An toàn Dịch vụ Tài Chính Úc (Australian Prudential Regulation Authority) ban hành. Một số quy định nổi bật như sau:</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Quy định này chỉ áp dụng đối với hoạt động nào quan trọng trong hoạt động kinh doanh bảo hiểm. Thế nào là quan trọng được định nghĩa trong quy định này; Hoạt động trọng yếu là: quản trị rủi ro và kiểm toán nội bộ  </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Công ty bảo hiểm phải xây dựng chính sách thuê ngoài do hội đồng thành viên hoặc hội đồng quản trị thông qua;</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Phải ký kết hợp đồng thuê ngoài với các điều khoản tối thiểu được quy định;</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Thông báo cho APRA sau khi ký kết hợp đồng thuê ngoài.</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Việc thuê các công ty dịch vụ nước ngoài phải được tham vấn với APRA trước khi thực hiện.</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Đối với hoạt động actuarial, APRA toàn chỉ tập trung quản lý sự tuân thủ của chuyên gia tính toán được bổ nhiệm, chứ không quản lý hoạt động cung cấp dịch vụ</w:t>
      </w:r>
      <w:r w:rsidR="00627794" w:rsidRPr="008354C2">
        <w:rPr>
          <w:rFonts w:ascii="Times New Roman" w:eastAsia="Arial" w:hAnsi="Times New Roman" w:cs="Times New Roman"/>
          <w:sz w:val="28"/>
          <w:szCs w:val="28"/>
        </w:rPr>
        <w:t xml:space="preserve"> này</w:t>
      </w:r>
    </w:p>
    <w:p w:rsidR="00462927" w:rsidRPr="008354C2" w:rsidRDefault="00627794" w:rsidP="00627794">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6.4. Canada</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Tương tự như Úc, pháp luật Canada tập trung quản lý việc các công ty bảo hiểm thuê ngoài các hoạt động bổ trợ bảo hiểm. Cơ quan quản lý các định chế tài chính (Office of Superintendent of Financial Institutions) của Canada (cơ quan liên bang) có ban hành bộ quy tắc hướng dẫn thuê ngoài các hoạt độnhg kinh doanh: Outsourcing of Business Activities, Functions and Processes. Một số hướng dẫn nổi bật:</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Có chính sách thuê ngoài do ban lãnh đạo doanh nghiệp ban hành.</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Có ký kết hợp đồng thuê ngoài.</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Hàng năm doanh nghiệp bảo hiểm phải tự rà soát, đánh giá hoạt động đã được thuê ngoài.</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Cơ quan quản lý có nêu một số ví dụ về hoạt động trong lĩnh vực bảo hiểm khi thuê ngoài cần có sự quản lý như: quản lý hợp đồng bảo hiểm, thu phí bảo hiểm, cấp đơn bảo hiểm, báo cáo tổn thất, giám định bảo hiểm. </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Đối với hoạt động actuarial, Canada chỉ tập trung quản lý sự tuân thủ của chuyên gia tính toán được bổ nhiệm, chứ không quản lý hoạt động cung cấp dịch vụ này</w:t>
      </w:r>
    </w:p>
    <w:p w:rsidR="00462927" w:rsidRPr="008354C2" w:rsidRDefault="00627794" w:rsidP="00627794">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.5. Nhật Bản:</w:t>
      </w:r>
    </w:p>
    <w:p w:rsidR="00462927" w:rsidRPr="008354C2" w:rsidRDefault="00462927" w:rsidP="00627794">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Về hoạt động hỗ trợ bảo hiểm, các công ty bảo hiểm chỉ có thể thuê ngoài vô cùng hạn chế một số hoạt động chính của mình như giải quyết bồi thường bảo hiểm sau khi có sự đồng ý của cơ quan quản lý dịch vụ tài chính (Financial Service Authority). Các công ty bảo hiểm chỉ có thể chủ động thuê ngoài các hoạt động mang tính giấy tờ, thủ tục: cấp đơn, thu phí bảo hiểm,… mà không có giới hạn.  </w:t>
      </w:r>
    </w:p>
    <w:p w:rsidR="00462927" w:rsidRPr="008354C2" w:rsidRDefault="00627794" w:rsidP="00627794">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.6. Malaysia:</w:t>
      </w:r>
    </w:p>
    <w:p w:rsidR="00462927" w:rsidRPr="008354C2" w:rsidRDefault="00462927" w:rsidP="00627794">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Đối với các hoạt động hỗ trợ bảo hiểm, Malaysia cũng có cách tiếp cận tương tự như Úc và Canada, coi đây là các hoạt động thuê ngoài của công ty bảo hiểm. Cơ quan quản lý có đưa ra các yêu cầu đối với việc thuê ngoài, gồm một số yêu cầu nổi bật như sau: </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Phải có hợp đồng thuê ngoài và đảm bảo một số điều khoản theo quy định của cơ quan quản lý</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Công ty bảo hiểm phải có kế hoạch thuê ngoài hàng năm được hội đồng thành viên / quản trị phê duyệt và nộp cho cơ quan quản lý.</w:t>
      </w:r>
    </w:p>
    <w:p w:rsidR="00627794"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Công ty bảo hiểm phải xin chấp thuận của cơ quan quản lý đối với hợp đồng thuê ngoài trước khi ký kết hoặc có sự sửa đổi, bổ sung đáng kể đối với hợp đồng thuê ngoài đã ký kế</w:t>
      </w:r>
      <w:r w:rsidR="00627794" w:rsidRPr="008354C2">
        <w:rPr>
          <w:rFonts w:ascii="Times New Roman" w:eastAsia="Arial" w:hAnsi="Times New Roman" w:cs="Times New Roman"/>
          <w:sz w:val="28"/>
          <w:szCs w:val="28"/>
        </w:rPr>
        <w:t>t.</w:t>
      </w:r>
    </w:p>
    <w:p w:rsidR="00462927" w:rsidRPr="008354C2" w:rsidRDefault="00627794" w:rsidP="00627794">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.7. Campuchia:</w:t>
      </w:r>
    </w:p>
    <w:p w:rsidR="00462927" w:rsidRPr="008354C2" w:rsidRDefault="00462927" w:rsidP="00627794">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Không có hạn chế đối với các hoạt động thuê ngoài không thuộc đối tượng cấp phép. Bất kỳ công ty bảo hiểm nào cũng có thể thuê ngoài một phần hoạt động, dịch vụ. Ví dụ, một công ty bảo hiểm có thể thuê ngoài:</w:t>
      </w:r>
    </w:p>
    <w:p w:rsidR="00462927" w:rsidRPr="008354C2" w:rsidRDefault="00627794" w:rsidP="00462927">
      <w:pPr>
        <w:spacing w:after="16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w:t>
      </w:r>
      <w:r w:rsidR="00462927" w:rsidRPr="008354C2">
        <w:rPr>
          <w:rFonts w:ascii="Times New Roman" w:eastAsia="Arial" w:hAnsi="Times New Roman" w:cs="Times New Roman"/>
          <w:sz w:val="28"/>
          <w:szCs w:val="28"/>
        </w:rPr>
        <w:t>Luật sư đánh giá quyền của họ đối mặt với việc thanh toán yêu cầu bồi thường.</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Tổ chức cung cấp dịch vụ thiết kế các công cụ marketing, tiếp thị thị trường.</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Công ty nhân sự tuyển dụng nhân viên.</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Công ty quảng cáo, phương tiện truyền thông và các trang web để phổ biến quảng cáo và thông tin của họ đến công chúng.</w:t>
      </w:r>
    </w:p>
    <w:p w:rsidR="00462927" w:rsidRPr="008354C2" w:rsidRDefault="00462927" w:rsidP="00627794">
      <w:pPr>
        <w:spacing w:after="120" w:line="360" w:lineRule="exact"/>
        <w:ind w:firstLine="7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Công ty CNTT để thiết kế dữ liệu và các công cụ xử lý yêu cầu, v.v.</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Tuy nhiên, việc điều tra, giám định tổn thất và định lượng tổn thất phải được thực công ty/giám định viên tổn thất có đăng ký hợp lệ (hiện nay chỉ có ba công ty giám định tổn thất ở Campuchia).</w:t>
      </w:r>
    </w:p>
    <w:p w:rsidR="00462927" w:rsidRPr="008354C2" w:rsidRDefault="00627794" w:rsidP="00627794">
      <w:pPr>
        <w:spacing w:after="16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.8. Trung Quốc</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Không có luật thống nhất về thuê ngoài áp dụng cho các nghiệp vụ bảo hiểm. Từng luật riêng lẻ giải quyết các lĩnh vực riêng lẻ. Ví dụ, có một quy định nghiêm cấm rõ ràng về việc thuê bên ngoài quản lý bảo mật hệ thống thông tin. Các chức năng không cốt lõi có thể được thuê các nhà cung cấp dịch vụ bên ngoài đủ điều kiện (ví dụ: trung tâm cuộc gọi, dịch vụ khách hàng và ghi sổ/kế toán). Về nguyên tắc, công ty bảo hiểm phải lựa chọn một cách thận trọng các nhà cung cấp dịch vụ thuê ngoài có chú ý đến trình độ chuyên môn, tình hình tài chính và hệ thống quản lý nội bộ, v.v ... Theo thông lệ CBIRC (CQQL bảo hiểm của Trung Quốc), khi công ty bảo hiểm sử dụng dịch vụ thuê ngoài thì phải gửi báo cáo về các hoạt động thuê ngoài cho CBIRC trong vòng 20 ngày làm việc trước khi thực hiện hợp đồng thuê ngoài.</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Ngoài ra, CBIRC gần đây đang hoàn thiện dự thảo các biện pháp mới về kiểm soát rủi ro đối với việc thuê ngoài hoạt động CNTT của các tổ chức ngân hàng và bảo hiểm. Dự kiến sẽ có hướng dẫn quy định các biện pháp về khác nhau về việc thuê ngoài thông tin, ví dụ như kiểm soát và quản lý có hệ thống việc thuê ngoài liên quan đến dữ liệu quan trọng và thông tin cá nhân.</w:t>
      </w:r>
    </w:p>
    <w:p w:rsidR="00462927" w:rsidRPr="008354C2" w:rsidRDefault="000D67A1" w:rsidP="000D67A1">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.9. Hồng Kông:</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Việc thuê ngoài của các công ty bảo hiểm thường được cho phép, tuân theo hướng dẫn của IA (Cơ quan quản lý bảo hiểm của Hồng Kông) (GL14)  áp dụng cho tất cả các thỏa thuận thuê ngoài của các công ty bảo hiểm được phép thành lập hoặc có trụ sở tại Hồng Kông và cho các hoạt động ở Hồng Kông của các công ty bảo hiểm ở nước ngoài. Công ty bảo hiểm phải thông báo cho IA ít nhất 03 tháng trước khi tham gia, hoặc có sự thay đổi đáng kể, bất kỳ thỏa thuận thuê ngoài trọng yếu nào. Các vấn đề thiết yếu cần xem xét khi thuê ngoài (bất kể tính trọng yếu) bao gồm việc chính sách thuê ngoài phải lập thành văn bản, được hội đồng quản trị phê duyệt, tiến hành đánh giá rủi ro và trọng yếu. Công ty bảo hiểm có ký kết thỏa thuận thuê ngoài được lập bằng văn bản với nhà cung cấp dịch vụ. IA phải hài lòng rằng tất cả các vấn đề thiết yếu đã được đề cập đầy đủ. Trong vòng 30 ngày kể từ khi ký kết thỏa thuận thuê ngoài trọng yếu, công ty bảo hiểm phải nộp các thông tin chi tiết cho IA cùng với bản sao của thỏa thuận thuê ngoài.</w:t>
      </w:r>
    </w:p>
    <w:p w:rsidR="00462927" w:rsidRPr="008354C2" w:rsidRDefault="000D67A1" w:rsidP="000D67A1">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.10. Indonesia</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Ngoại trừ các hoạt động khai thác, tính toán và giải quyết khiếu nại, các công ty bảo hiểm có thể thuê các công ty/tổ chức cung cấp dịch vụ bên thứ ba đáp ứng các yêu cầu quy định nhất định (chẳng hạn như một pháp nhân Indonesia có giấy phép kinh doanh hợp lệ không có xung đột lợi ích với chức năng của công ty bảo hiểm thuê ngoài).</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Mọi hoạt động thuê các nhà cung cấp dịch vụ nước ngoài chỉ được phép thực hiện cho với hoạt động bị hạn chế, bao gồm nghiên cứu sản phẩm, hệ thống thông tin và các dịch vụ khác mà các nhà cung cấp dịch vụ Indonesia không thể cung cấp. Khi công ty bảo hiểm thuê các nhà cung cấp dịch vụ nước ngoài, công ty bảo hiểm phải báo cáo cho OJK 14 ngày trước khi thuê.</w:t>
      </w:r>
    </w:p>
    <w:p w:rsidR="00462927" w:rsidRPr="008354C2" w:rsidRDefault="000D67A1" w:rsidP="000D67A1">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.11. Philippines</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Các hoạt động được quy định bởi Bộ luật Bảo hiểm không thể được thuê ngoài trừ khi công ty cung cấp dịch vụ có giấy phép theo yêu cầu. Nói chung, "các hoạt động hỗ trợ (backroom actitivites)" như dịch vụ hành chính, dịch vụ trung gian và dịch vụ trung tâm liên hệ, và dịch vụ gửi thư có thể được thuê ngoài.</w:t>
      </w:r>
    </w:p>
    <w:p w:rsidR="00462927" w:rsidRPr="008354C2" w:rsidRDefault="000D67A1" w:rsidP="000D67A1">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.12. Hàn Quốc</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về Ủy quyền Kinh doanh của tổ chức/định chế Tài chính. Quy định này cấm một tổ chức tài chính ủy thác các hoạt động kinh doanh “cốt lõi” của mình cho bên thứ ba. Các hoạt động kinh doanh cốt lõi bao gồm: solicit (khai thác) và thực hiện hợp đồng bảo hiểm, công khai sản phẩm, khai thác, các vấn đề hợp đồng liên quan đến HĐBH (ví dụ: chấm dứt và khôi phục), quản lý biên lai phí bảo hiểm, nhượng và nhận tái bảo hiểm, xác định và thanh toán các yêu cầu bảo hiểm.</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Về nguyên tắc, mọi hoạt động thuê ngoài phải được thông báo cho FSS ít nhất 07 ngày trước khi thực hiện thỏa thuận thuê ngoài.</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Tuy nhiên, việc thuê ngoài CNTT của các tổ chức tài chính được điều chỉnh riêng bởi Quy định về Thuê ngoài Xử lý Dữ liệu của các Tổ chức Tài chính (Quy chế thuê ngoài CNTT).</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Các Quy định về thuê ngoài CNTT đưa ra các yêu cầu báo cáo khác nhau cho FSS về việc thuê ngoài thông tin giao dịch tài chính (tức là thông tin được thu thập từ khách hàng trong quá trình giao dịch tài chính hoặc được tạo ra từ kết quả của giao dịch tài chính). Phải có báo cáo cho FSS: (i) 30 ngày làm việc trước ngày bắt đầu hoạt động xử lý thông tin thuê ngoài trong trường hợp thuê ngoài, nơi sẽ xử lý thông tin giao dịch tài chính của khách hàng cá nhân có thể nhận dạng được; (ii) 07 ngày làm việc trước ngày bắt đầu hoạt động xử lý thông tin thuê ngoài trong trường hợp thuê ngoài trong nước, trong đó sẽ xử lý thông tin giao dịch tài chính của khách hàng cá nhân có thể nhận dạng được; hoặc (iii) trong vòng 10 ngày làm việc kể từ ngày bắt đầu hoạt động xử lý thông tin thuê ngoài trong trường hợp thuê ngoài nước ngoài hoặc trong nước mà hoạt động thuê ngoài xử lý thông tin giao dịch tài chính không bao gồm thông tin khách hàng cá nhân có thể nhận dạng được. Theo Quy định về thuê ngoài CNTT, việc thuê ngoài xử lý thông tin giao dịch phi tài chính phải tuân theo báo cáo bán niên sau thực tế cho FSS.</w:t>
      </w:r>
    </w:p>
    <w:p w:rsidR="00462927" w:rsidRPr="008354C2" w:rsidRDefault="000D67A1" w:rsidP="000D67A1">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.13. Sri Lanka:</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IRCSL có thể cấp phép cho công ty bảo hiểm giữ tài sản bên ngoài Sri Lanka khi IRCSL hài lòng rằng giá trị tài sản được phép lưu giữ bên ngoài Sri Lanka (i) sẽ không vượt quá 20% tổng tài sản của công ty bảo hiểm tại bất kỳ thời điểm nào, và (ii) (của bất kỳ người nào) sẽ không vượt quá 5% giá trị của tài sản được phép lưu giữ bên ngoài Sri Lanka tại bất kỳ thời điểm nào; và khi công ty bảo hiểm cung cấp một bảo đảm bằng văn bản rằng các tài liệu chứng minh quyền của công ty bảo hiểm đối với các tài sản đó được giữ an toàn ở Sri Lanka.</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Không có hạn chế theo luật định nào đối với việc sử dụng một công ty dịch vụ cho các hoạt động “hỗ trợ hành chính” như nhân sự, photocopy và xử lý yêu cầu bồi thường (ngoại trừ các hoạt động của công ty giám định tổn thất).</w:t>
      </w:r>
    </w:p>
    <w:p w:rsidR="00462927" w:rsidRPr="008354C2" w:rsidRDefault="000D67A1" w:rsidP="000D67A1">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.14. Đài Loan</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Việc doanh nghiệp bảo hiểm thuê ngoài các hoạt động kinh doanh được giới hạn trong các nội dung sau: (1) hỗ trợ hậu cần cho việc xử lý dữ liệu; (2) thực hiện các cuộc điều tra liên quan đến hợp đồng bảo hiểm và khảo sát ý kiến người tiêu dùng; (3) các biểu mẫu và tài liệu liên quan đối với việc thực hiện hợp đồng bảo hiểm; (4) hỗ trợ khẩn cấp ở nước ngoài và các dịch vụ hỗ trợ bên đường được cung cấp theo hợp đồng bảo hiểm; (5) phân phối các quảng cáo bán hàng và các ấn phẩm tiêu dùng; (6) thu phí bảo hiểm, trả gốc và lãi đối với các khoản vay theo hợp đồng hoặc các khoản vay khác, và các khoản thanh toán khác liên quan đến hợp đồng bảo hiểm; (7) đòi nợ; (8) dịch vụ khách hàng điện tử; (9) các hoạt động liên quan đến bất động sản; (10) xác định vị trí ô tô bị vỡ nợ cho vay mua ô tô và bán tại các cuộc đấu giá ô tô, nhưng không bao gồm việc xác định giá sàn để bán đấu giá; (11) định giá, phân loại, gộp và bán các khoản nợ xấu; và (12) các hoạt động khác được cơ quan có thẩm quyền phê duyệt.</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Công ty phải được FSC chấp thuận trước khi thuê ngoài các hoạt động kinh doanh được xác định trong các mục (7) và/hoặc (12) cho một người / công ty trong nước.</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Công ty phải được FSC chấp thuận trước khi thuê ngoài bất kỳ và tất cả các hoạt động kinh doanh được xác định ở trên cho một người nước ngoài / công ty nước ngoài. Các chi nhánh của công ty bảo hiểm nước ngoài tại Đài Loan thuê ngoài hoạt động của họ tại trụ sở chính hoặc các chi nhánh khác ở nước ngoài để phân công lao động nội bộ cũng sẽ áp dụng với mục đích được FSC chấp thuận trước. Tuy nhiên, sự chấp thuận trước đó của FSC được miễn khi công ty bảo hiểm thuê một tổ chức nước ngoài để hỗ trợ xử lý các yêu cầu bồi thường, cứu hộ khẩn cấp, điều tra hoặc đánh giá, công ty bảo hiểm thuê ngoài việc phát triển và duy trì hệ thống thông tin trong nước của mình cho một tổ chức nước ngoài, hoặc các tổ chức khác được quy định bởi Hướng dẫn Hoạt động thuê ngoài của doanh nghiệp bảo hiểm .</w:t>
      </w:r>
    </w:p>
    <w:p w:rsidR="00462927" w:rsidRPr="008354C2" w:rsidRDefault="000D67A1" w:rsidP="000D67A1">
      <w:pPr>
        <w:spacing w:after="120" w:line="360" w:lineRule="exact"/>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6</w:t>
      </w:r>
      <w:r w:rsidR="00462927" w:rsidRPr="008354C2">
        <w:rPr>
          <w:rFonts w:ascii="Times New Roman" w:eastAsia="Arial" w:hAnsi="Times New Roman" w:cs="Times New Roman"/>
          <w:b/>
          <w:sz w:val="28"/>
          <w:szCs w:val="28"/>
        </w:rPr>
        <w:t>.15. Thái Lan</w:t>
      </w:r>
    </w:p>
    <w:p w:rsidR="00462927" w:rsidRPr="008354C2" w:rsidRDefault="00462927" w:rsidP="000D67A1">
      <w:pPr>
        <w:spacing w:after="120" w:line="360" w:lineRule="exact"/>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Công ty bảo hiểm không được thuê ngoài các chức năng “cốt lõi”, bao gồm: khai thác rủi ro (khai thác bảo hiểm) và phát hành hợp đồng bảo hiểm, thu phí bảo hiểm, chấp nhận hoặc từ chối yêu cầu bồi thường và giám định tổn thất. Với sự chấp thuận cụ thể của OIC, công ty bảo hiểm có thể thuê ngoài một số chức năng “hỗ trợ” nhất định, bao gồm: thanh toán các yêu cầu bồi thường trong một số trường hợp hạn chế. Công ty bảo hiểm có thể tự do thuê ngoài các chức năng hành chính “khác” không có tính chất cốt lõi, bao gồm kiểm toán nội bộ, kế toán, CNTT và dịch vụ tư vấn liên quan đến các yêu cầu bồi thường và các chức năng văn phòng hỗ trợ.</w:t>
      </w:r>
    </w:p>
    <w:p w:rsidR="008044FE" w:rsidRPr="008354C2" w:rsidRDefault="008044FE" w:rsidP="008044FE">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7. Quy định liên quan đến doanh nghiệp giải thể, phá sản</w:t>
      </w:r>
    </w:p>
    <w:p w:rsidR="008044FE" w:rsidRPr="008354C2" w:rsidRDefault="008044FE" w:rsidP="008044FE">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7.1. IAIS</w:t>
      </w:r>
    </w:p>
    <w:p w:rsidR="008044FE" w:rsidRPr="008354C2" w:rsidRDefault="008044FE" w:rsidP="008044FE">
      <w:pPr>
        <w:spacing w:after="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Theo Chuẩn mực số 12 của IAIS, quy định pháp lý cần xác định rõ các trường hợp </w:t>
      </w:r>
      <w:r w:rsidRPr="008354C2">
        <w:rPr>
          <w:rFonts w:ascii="Times New Roman" w:eastAsia="Arial" w:hAnsi="Times New Roman" w:cs="Times New Roman"/>
          <w:sz w:val="28"/>
          <w:szCs w:val="28"/>
        </w:rPr>
        <w:t>một</w:t>
      </w:r>
      <w:r w:rsidRPr="008354C2">
        <w:rPr>
          <w:rFonts w:ascii="Times New Roman" w:eastAsia="Arial" w:hAnsi="Times New Roman" w:cs="Times New Roman"/>
          <w:sz w:val="28"/>
          <w:szCs w:val="28"/>
          <w:lang w:val="vi-VN"/>
        </w:rPr>
        <w:t xml:space="preserve"> DNBH rút khỏi thị trường, trong đó quy định về mất khả năng thanh toán và các tiêu chuẩn, quy trình, thủ tục giải quyết vấn đề DNBH mất khả năng thanh toán. Trong trường hợp giải thể DNBH, quy định pháp lý cho phép ưu tiên bảo vệ chủ hợp đồng bảo hiểm và các mục tiêu để giảm thiểu sự gián đoạn đối với dự phòng cho quyền lợi của bên mua bảo hiểm.</w:t>
      </w:r>
    </w:p>
    <w:p w:rsidR="008044FE" w:rsidRPr="008354C2" w:rsidRDefault="008044FE" w:rsidP="008044FE">
      <w:pPr>
        <w:spacing w:after="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Các thủ tục đối với giải thể và cho phép một DNBH rút khỏi thị trường cần được quy định rõ ràng. Cần ưu tiên cao đối với bảo vệ quyền và tư cách pháp lý của bên mua bảo hiểm.Cần quy định cách xác định thời điểm không cho phép DNBH được tiếp tục hoạt động kinh doanh bảo hiểm.</w:t>
      </w:r>
    </w:p>
    <w:p w:rsidR="008044FE" w:rsidRPr="008354C2" w:rsidRDefault="008044FE" w:rsidP="008044F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7.2. Trung Quốc</w:t>
      </w:r>
    </w:p>
    <w:p w:rsidR="008044FE" w:rsidRPr="008354C2" w:rsidRDefault="008044FE" w:rsidP="008044FE">
      <w:pPr>
        <w:spacing w:before="6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89 Luật Bảo hiểm 2015</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“Trường hợp công ty bảo hiểm cần giải thể do việc chia tách, sáp nhập, giải thể Đại hội đồng cổ đông hoặc nguyên nhân giải thể được quy định trong điều lệ của công ty thì công ty bảo hiểm sẽ được giải thể khi có sự chấp thuận của cơ quan quản lý bảo hiểm thuộc Chính phủ. </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Công ty bảo hiểm hoạt động kinh doanh bảo hiểm nhân thọ không được giải thể trừ khi bị chia, sáp nhập hoặc hủy bỏ theo luật. </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Cơ quan thanh lý sẽ được thành lập để thực hiện thanh lý công ty bảo hiểm để giải thể.”</w:t>
      </w:r>
    </w:p>
    <w:p w:rsidR="008044FE" w:rsidRPr="008354C2" w:rsidRDefault="008044FE" w:rsidP="008044FE">
      <w:pPr>
        <w:spacing w:before="6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90 Luật Bảo hiểm 2015</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“Trường hợp công ty bảo hiểm thuộc một trong các trường hợp quy định tại Điều 2 Luật Phá sản Doanh nghiệp của Cộng hoà Nhân dân Trung Hoa, khi được cơ quan quản lý bảo hiểm thuộc Chính phủ chấp thuận, công ty bảo hiểm hoặc bất kỳ chủ nợ nào cũng có thể đệ đơn lên Toà án Cộng hòa Nhân dân Trung Hoa để tái cơ cấu, hòa giải hoặc thanh lý phá sản; cơ quan quản lý bảo hiểm thuộc Chính phủ cũng có thể đệ đơn lên tòa án Cộng hòa Nhân dân Trung Hoa để yêu cầu công ty phải tái cơ cấu hoặc thanh lý phá sản.”</w:t>
      </w:r>
    </w:p>
    <w:p w:rsidR="008044FE" w:rsidRPr="008354C2" w:rsidRDefault="008044FE" w:rsidP="008044FE">
      <w:pPr>
        <w:spacing w:before="6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91 Luật Bảo hiểm 2015</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“Tài sản phá sản được sử dụng để trả nợ theo thứ tự nêu sau đây sau khi đã thực hiện lần trả nợ phá sản đầu tiên và các khoản nợ phát sinh vì lợi ích chung của chủ nợ:</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 Tiền lương, tiền công, chi phí y tế, trợ cấp thương tật/tàn tật và tiền trợ cấp hưu trí cho người lao động, tiền đóng góp cho chương trình hưu trí cơ bản và phí bảo hiểm y tế cơ bản mà sẽ được chuyển vào tài khoản cá nhân của nhân viên và các khoản bồi thường cho nhân viên theo quy định của pháp luật và quy định hành chính; </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 Tiền bồi thường bảo hiểm hoặc quyền lợi bảo hiểm; </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Các khoản đóng bảo hiểm xã hội ngoài các khoản đóng góp quy định tại khoản 1 và các khoản thuế mà công ty phải trả; và</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 Quyền phá sản nói chung của chủ nợ. </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Nếu tài sản phá sản không đủ để trả nợ theo thứ tự ưu tiên riêng biệt, tài sản đó sẽ được phân phối theo tỷ lệ.</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Tiền lương của giám đốc, giám sát viên, cán bộ của công ty bảo hiểm phá sản được tính theo mức lương bình quân của người lao động trong công ty.”</w:t>
      </w:r>
    </w:p>
    <w:p w:rsidR="008044FE" w:rsidRPr="008354C2" w:rsidRDefault="008044FE" w:rsidP="008044FE">
      <w:pPr>
        <w:spacing w:before="6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93 Luật Bảo hiểm 2015</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“Trường hợp công ty bảo hiểm chấm dứt hoạt động kinh doanh theo quy định của pháp luật thì giấy phép hoạt động kinh doanh bảo hiểm của công ty bị thu hồi.”</w:t>
      </w:r>
    </w:p>
    <w:p w:rsidR="00BF680E" w:rsidRPr="008354C2" w:rsidRDefault="00BF680E" w:rsidP="00BF680E">
      <w:pPr>
        <w:spacing w:before="120" w:after="120"/>
        <w:jc w:val="both"/>
        <w:rPr>
          <w:rFonts w:ascii="Times New Roman" w:eastAsia="Arial" w:hAnsi="Times New Roman" w:cs="Times New Roman"/>
          <w:b/>
          <w:i/>
          <w:sz w:val="28"/>
          <w:szCs w:val="28"/>
          <w:lang w:val="vi-VN"/>
        </w:rPr>
      </w:pPr>
      <w:r w:rsidRPr="008354C2">
        <w:rPr>
          <w:rFonts w:ascii="Times New Roman" w:eastAsia="Arial" w:hAnsi="Times New Roman" w:cs="Times New Roman"/>
          <w:sz w:val="28"/>
          <w:szCs w:val="28"/>
          <w:lang w:val="vi-VN"/>
        </w:rPr>
        <w:t>- Điều 92 Luật Bảo hiểm 2015</w:t>
      </w:r>
      <w:r w:rsidRPr="008354C2">
        <w:rPr>
          <w:rFonts w:ascii="Times New Roman" w:eastAsia="Arial" w:hAnsi="Times New Roman" w:cs="Times New Roman"/>
          <w:i/>
          <w:sz w:val="28"/>
          <w:szCs w:val="28"/>
          <w:lang w:val="vi-VN"/>
        </w:rPr>
        <w:t xml:space="preserve">: “Trường hợp công ty bảo hiểm hoạt động kinh doanh bảo hiểm nhân thọ bị dừng hoạt động hoặc bị tuyên bố phá sản theo quy định của pháp luật thì phải giao hợp đồng bảo hiểm nhân thọ và dự phòng trách nhiệm cho công ty bảo hiểm khác hoạt động kinh doanh bảo hiểm nhân thọ; trường hợp không thoả thuận được với một công ty bảo hiểm khác thì cơ quan quản lý bảo hiểm thuộc Chính phủ chỉ định công ty bảo hiểm hoạt động kinh doanh bảo hiểm nhân thọ để nhận chuyển nhượng. </w:t>
      </w:r>
    </w:p>
    <w:p w:rsidR="00BF680E" w:rsidRPr="008354C2" w:rsidRDefault="00BF680E" w:rsidP="008044FE">
      <w:pPr>
        <w:spacing w:after="0"/>
        <w:jc w:val="both"/>
        <w:rPr>
          <w:rFonts w:ascii="Times New Roman" w:eastAsia="Arial" w:hAnsi="Times New Roman" w:cs="Times New Roman"/>
          <w:sz w:val="28"/>
          <w:szCs w:val="28"/>
          <w:lang w:val="vi-VN"/>
        </w:rPr>
      </w:pPr>
      <w:r w:rsidRPr="008354C2">
        <w:rPr>
          <w:rFonts w:ascii="Times New Roman" w:eastAsia="Arial" w:hAnsi="Times New Roman" w:cs="Times New Roman"/>
          <w:i/>
          <w:sz w:val="28"/>
          <w:szCs w:val="28"/>
          <w:lang w:val="vi-VN"/>
        </w:rPr>
        <w:t>Khi thực hiện việc chuyển nhượng hợp đồng bảo hiểm nhân thọ và dự phòng trách nhiệm quy định tại khoản trên hoặc chấp nhận chuyển nhượng theo chỉ định của cơ quan quản lý bảo hiểm thuộc Chính phủ, các quyền và lợi ích hợp pháp của người được bảo hiểm và người thụ hưởng được bảo hộ</w:t>
      </w:r>
      <w:r w:rsidRPr="008354C2">
        <w:rPr>
          <w:rFonts w:ascii="Times New Roman" w:eastAsia="Arial" w:hAnsi="Times New Roman" w:cs="Times New Roman"/>
          <w:sz w:val="28"/>
          <w:szCs w:val="28"/>
          <w:lang w:val="vi-VN"/>
        </w:rPr>
        <w:t>.”</w:t>
      </w:r>
    </w:p>
    <w:p w:rsidR="00BF680E" w:rsidRPr="008354C2" w:rsidRDefault="008044FE" w:rsidP="008044F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7.3. Malaysia</w:t>
      </w:r>
    </w:p>
    <w:p w:rsidR="008044FE" w:rsidRPr="008354C2" w:rsidRDefault="008044FE" w:rsidP="008044F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Theo quy định tại điểm 193, Luật Bảo hiểm Malaysia, DNBH có thể tự nguyện nộp đơn xin giải thể doanh nghiệp hoặc bị buộc phải giải thể trong trường hợp Ngân hàng TW Malaysia can thiệp khi có một trong các dấu hiệu theo quy định tại điểm 165 của Luật này (vi phạm quy định pháp luật, không tuân thủ các chỉ thị cụ thể của cơ quan quản lý, tổng tài sản không đủ thực hiện các trách nhiệm với chủ nợ, chủ hợp đồng bảo hiểm và các bên có liên quan, vốn không đáp ứng mức tối thiểu quy định nhằm đáp ứng trách nhiệm với các chủ nợ, chủ hợp đồng bảo hiểm và các bên có liên quan, DNBH mất hoặc có nguy cơ mất KNTT và không thể đáp ứng trách nhiệm cam kết, có bất kì giao dịch nào có thể ảnh hưởng nghiêm trọng đến lợi ích của chủ hợp đồng bảo hiểm và các bên có liên quan hoặc có thể dẫn tới mất KNTT, phá sản DNBH).</w:t>
      </w:r>
    </w:p>
    <w:p w:rsidR="008044FE" w:rsidRPr="008354C2" w:rsidRDefault="008044FE" w:rsidP="008044FE">
      <w:pPr>
        <w:spacing w:after="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Điểm 194-197 quy định về thủ tục giải thể DNBH, thanh lý tài sản, từ điểm 200-204,207 quy định về định giá tài sản, trách nhiệm của các hợp đồng bảo hiểm, việc tiếp tục thực hiện cam kết đối với các hợp đồng bảo hiểm nhân thọ, thứ tự ưu tiên trong quá trình giải thể DNBH, thành lập Ủy ban định giá của CQQL để thực hiện giám sát các việc này.</w:t>
      </w:r>
    </w:p>
    <w:p w:rsidR="008044FE" w:rsidRPr="008354C2" w:rsidRDefault="008044FE" w:rsidP="008044F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7.4. Đài Loan: </w:t>
      </w:r>
    </w:p>
    <w:p w:rsidR="008044FE" w:rsidRPr="008354C2" w:rsidRDefault="008044FE" w:rsidP="00BF680E">
      <w:pPr>
        <w:spacing w:before="120" w:after="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149 Luật Bảo hiểm</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“Cơ quan có thẩm quyền phải đảm bảo trách nhiệm bảo quản và quản lý đối với doanh nghiệp bảo hiểm, yêu cầu doanh nghiệp đình chỉ hoạt động kinh doanh hoặc thanh lý doanh nghiệp theo cách sau đây:</w:t>
      </w:r>
    </w:p>
    <w:p w:rsidR="008044FE" w:rsidRPr="008354C2" w:rsidRDefault="008044FE" w:rsidP="008044FE">
      <w:pPr>
        <w:spacing w:after="6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Trường hợp tỷ lệ an toàn vốn được phân loại là vốn thiếu nghiêm trọng, doanh nghiệp hoặc người chịu trách nhiệm không hoàn thành kế hoạch tăng vốn hoặc phương án hành động sửa chữa tài chính, kinh doanh trong thời hạn cụ thể theo yêu cầu của cơ quan có thẩm quyền; phải đảm bảo trách nhiệm bảo quản hoặc quản lý đối với doanh nghiệp bảo hiểm, yêu cầu doanh nghiệp đình chỉ và giải thể hoạt động kinh doanh hoặc thanh lý doanh nghiệp trong thời hạn 90 ngày, kể từ ngày hết thời hạn nói trên.”</w:t>
      </w:r>
    </w:p>
    <w:p w:rsidR="008044FE" w:rsidRPr="008354C2" w:rsidRDefault="008044FE" w:rsidP="008044FE">
      <w:pPr>
        <w:spacing w:after="60"/>
        <w:jc w:val="both"/>
        <w:rPr>
          <w:rFonts w:ascii="Times New Roman" w:eastAsia="Arial" w:hAnsi="Times New Roman" w:cs="Times New Roman"/>
          <w:sz w:val="28"/>
          <w:szCs w:val="28"/>
          <w:lang w:val="vi-VN"/>
        </w:rPr>
      </w:pPr>
      <w:r w:rsidRPr="008354C2">
        <w:rPr>
          <w:rFonts w:ascii="Times New Roman" w:eastAsia="Arial" w:hAnsi="Times New Roman" w:cs="Times New Roman"/>
          <w:i/>
          <w:sz w:val="28"/>
          <w:szCs w:val="28"/>
          <w:lang w:val="vi-VN"/>
        </w:rPr>
        <w:t xml:space="preserve">- </w:t>
      </w:r>
      <w:r w:rsidRPr="008354C2">
        <w:rPr>
          <w:rFonts w:ascii="Times New Roman" w:eastAsia="Arial" w:hAnsi="Times New Roman" w:cs="Times New Roman"/>
          <w:sz w:val="28"/>
          <w:szCs w:val="28"/>
          <w:lang w:val="vi-VN"/>
        </w:rPr>
        <w:t>Điều 149-4: “</w:t>
      </w:r>
      <w:r w:rsidRPr="008354C2">
        <w:rPr>
          <w:rFonts w:ascii="Times New Roman" w:eastAsia="Arial" w:hAnsi="Times New Roman" w:cs="Times New Roman"/>
          <w:i/>
          <w:sz w:val="28"/>
          <w:szCs w:val="28"/>
          <w:lang w:val="vi-VN"/>
        </w:rPr>
        <w:t>Khi doanh nghiệp bảo hiểm được lệnh giải thể theo quy định tại Điều 149, các quy định của Luật Doanh nghiệp về thanh lý công ty cổ phần sẽ áp dụng các sửa đổi thích hợp đối với các thủ tục thanh lý của doanh nghiệp trừ khi được quy định khác trong Luật này. Nếu doanh nghiệp bảo hiểm được tổ chức như hợp tác xã, quy định của Luật Hợp tác xã liên quan đến phá sản sẽ áp dụng các sửa đổi thích hợp với điều kiện là quy định thanh lý đặc biệt đối với bất kỳ lý do nào trong Điều 335 của Luật Doanh nghiệp của một công ty cổ phần sẽ áp dụng các sửa đổi thích hợp, như được quy định trong Luật Doanh nghiệp.</w:t>
      </w:r>
      <w:r w:rsidRPr="008354C2">
        <w:rPr>
          <w:rFonts w:ascii="Times New Roman" w:eastAsia="Arial" w:hAnsi="Times New Roman" w:cs="Times New Roman"/>
          <w:sz w:val="28"/>
          <w:szCs w:val="28"/>
          <w:lang w:val="vi-VN"/>
        </w:rPr>
        <w:t>”</w:t>
      </w:r>
    </w:p>
    <w:p w:rsidR="00BF680E" w:rsidRPr="008354C2" w:rsidRDefault="00BF680E" w:rsidP="00BF680E">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sz w:val="28"/>
          <w:szCs w:val="28"/>
          <w:lang w:val="vi-VN"/>
        </w:rPr>
        <w:t xml:space="preserve">- Điều 27: </w:t>
      </w:r>
      <w:r w:rsidRPr="008354C2">
        <w:rPr>
          <w:rFonts w:ascii="Times New Roman" w:eastAsia="Arial" w:hAnsi="Times New Roman" w:cs="Times New Roman"/>
          <w:i/>
          <w:sz w:val="28"/>
          <w:szCs w:val="28"/>
          <w:lang w:val="vi-VN"/>
        </w:rPr>
        <w:t>“Nếu doanh nghiệp bảo hiểm bị phá sản, hợp đồng bảo hiểm của DNBH chấm dứt vào ngày Tòa án tuyên bố DNBH phá sản, và bất kỳ khoản phí bảo hiểm nào được thanh toán cho giai đoạn sau khi chấm dứt sẽ được công ty bảo hiểm hoàn trả.”</w:t>
      </w:r>
    </w:p>
    <w:p w:rsidR="00BF680E" w:rsidRPr="008354C2" w:rsidRDefault="00BF680E" w:rsidP="00BF680E">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i/>
          <w:sz w:val="28"/>
          <w:szCs w:val="28"/>
          <w:lang w:val="vi-VN"/>
        </w:rPr>
        <w:t xml:space="preserve">- </w:t>
      </w:r>
      <w:r w:rsidRPr="008354C2">
        <w:rPr>
          <w:rFonts w:ascii="Times New Roman" w:eastAsia="Arial" w:hAnsi="Times New Roman" w:cs="Times New Roman"/>
          <w:sz w:val="28"/>
          <w:szCs w:val="28"/>
          <w:lang w:val="vi-VN"/>
        </w:rPr>
        <w:t>Điều 28</w:t>
      </w:r>
      <w:r w:rsidRPr="008354C2">
        <w:rPr>
          <w:rFonts w:ascii="Times New Roman" w:eastAsia="Arial" w:hAnsi="Times New Roman" w:cs="Times New Roman"/>
          <w:i/>
          <w:sz w:val="28"/>
          <w:szCs w:val="28"/>
          <w:lang w:val="vi-VN"/>
        </w:rPr>
        <w:t xml:space="preserve">: </w:t>
      </w:r>
      <w:r w:rsidRPr="008354C2">
        <w:rPr>
          <w:rFonts w:ascii="Times New Roman" w:eastAsia="Arial" w:hAnsi="Times New Roman" w:cs="Times New Roman"/>
          <w:sz w:val="28"/>
          <w:szCs w:val="28"/>
          <w:lang w:val="vi-VN"/>
        </w:rPr>
        <w:t>“Nếu chủ hợp đồng bảo hiểm bị phá sản, hợp đồng bảo hiểm vẫn hợp lệ vì lợi ích của chủ nợ của bên bị phá sản. Tuy nhiên, người được ủy thác hoặc công ty bảo hiểm phá sản có thể chấm dứt hợp đồng trong vòng ba tháng kể từ ngày có phán quyết phá sản. Bất kỳ khoản phí bảo hiểm nào được trả cho giai đoạn sau khi chấm dứt sẽ được hoàn trả.”</w:t>
      </w:r>
    </w:p>
    <w:p w:rsidR="00BF680E" w:rsidRPr="008354C2" w:rsidRDefault="00BF680E" w:rsidP="00BF680E">
      <w:pPr>
        <w:spacing w:before="120"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 </w:t>
      </w:r>
      <w:r w:rsidRPr="008354C2">
        <w:rPr>
          <w:rFonts w:ascii="Times New Roman" w:eastAsia="Arial" w:hAnsi="Times New Roman" w:cs="Times New Roman"/>
          <w:sz w:val="28"/>
          <w:szCs w:val="28"/>
          <w:lang w:val="vi-VN"/>
        </w:rPr>
        <w:t>Điều 123</w:t>
      </w:r>
      <w:r w:rsidRPr="008354C2">
        <w:rPr>
          <w:rFonts w:ascii="Times New Roman" w:eastAsia="Arial" w:hAnsi="Times New Roman" w:cs="Times New Roman"/>
          <w:i/>
          <w:sz w:val="28"/>
          <w:szCs w:val="28"/>
          <w:lang w:val="vi-VN"/>
        </w:rPr>
        <w:t>: “Nếu DNBH bị phá sản, số tiền mà người thụ hưởng có thể yêu cầu đối với doanh nghiệp bảo hiểm liên quan đến số tiền được bảo hiểm sẽ được tính theo tỉ lệ của giá trị không hoàn lại với tỷ lệ phí bảo hiểm tại thời điểm hợp đồng được ký kết. Nếu chủ hợp đồng bảo hiểm bị phá sản, hợp đồng bảo hiểm mà người thụ hưởng đã được chỉ định sẽ vẫn còn hiệu lực vì lợi ích của người thụ hưởng.”</w:t>
      </w:r>
    </w:p>
    <w:p w:rsidR="008044FE" w:rsidRPr="008354C2" w:rsidRDefault="003D6CAD" w:rsidP="008044FE">
      <w:pPr>
        <w:spacing w:before="120" w:after="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7</w:t>
      </w:r>
      <w:r w:rsidR="008044FE" w:rsidRPr="008354C2">
        <w:rPr>
          <w:rFonts w:ascii="Times New Roman" w:eastAsia="Arial" w:hAnsi="Times New Roman" w:cs="Times New Roman"/>
          <w:b/>
          <w:sz w:val="28"/>
          <w:szCs w:val="28"/>
          <w:lang w:val="vi-VN"/>
        </w:rPr>
        <w:t xml:space="preserve">.5. Nhật Bản (Luật kinh doanh bảo hiểm): </w:t>
      </w:r>
      <w:r w:rsidR="008044FE" w:rsidRPr="008354C2">
        <w:rPr>
          <w:rFonts w:ascii="Times New Roman" w:eastAsia="Arial" w:hAnsi="Times New Roman" w:cs="Times New Roman"/>
          <w:sz w:val="28"/>
          <w:szCs w:val="28"/>
          <w:lang w:val="vi-VN"/>
        </w:rPr>
        <w:t>Tại Chương VIII Giải thể, Sáp nhập, Chia tách công ty và Thanh lý</w:t>
      </w:r>
    </w:p>
    <w:p w:rsidR="008044FE" w:rsidRPr="008354C2" w:rsidRDefault="008044FE" w:rsidP="008044FE">
      <w:pPr>
        <w:spacing w:after="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Mục 1 Giải thể</w:t>
      </w:r>
    </w:p>
    <w:p w:rsidR="008044FE" w:rsidRPr="008354C2" w:rsidRDefault="008044FE" w:rsidP="008044FE">
      <w:pPr>
        <w:spacing w:after="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(Nguyên nhân giải thể)</w:t>
      </w:r>
    </w:p>
    <w:p w:rsidR="008044FE" w:rsidRPr="008354C2" w:rsidRDefault="008044FE" w:rsidP="008044FE">
      <w:pPr>
        <w:spacing w:before="6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Điều 152 Khoản 3 quy định: </w:t>
      </w:r>
      <w:r w:rsidRPr="008354C2">
        <w:rPr>
          <w:rFonts w:ascii="Times New Roman" w:eastAsia="Arial" w:hAnsi="Times New Roman" w:cs="Times New Roman"/>
          <w:sz w:val="28"/>
          <w:szCs w:val="28"/>
          <w:lang w:val="vi-VN"/>
        </w:rPr>
        <w:tab/>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“Công ty bảo hiểm phải giải thể do các nguyên nhân sau:</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 Chuyển nhượng toàn bộ Hợp đồng bảo hiểm; hoặc</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(ii) Hủy bỏ giấy phép theo Điều 3, khoản (1) hoặc đăng ký theo Điều 272, khoản 1.”</w:t>
      </w:r>
    </w:p>
    <w:p w:rsidR="008044FE" w:rsidRPr="008354C2" w:rsidRDefault="008044FE" w:rsidP="008044FE">
      <w:pPr>
        <w:spacing w:after="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153 Khoản 3 (i) và (ii) quy định:</w:t>
      </w:r>
    </w:p>
    <w:p w:rsidR="008044FE" w:rsidRPr="008354C2" w:rsidRDefault="008044FE" w:rsidP="008044FE">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 Trong trường hợp đương đơn xin cấp giấy phép là một Công ty bảo hiểm, việc giải thể hoặc loại bỏ hoạt động kinh doanh bảo hiểm theo nghị quyết, hoặc vụ sáp nhập phải chắc chắn xảy ra do tình trạng kinh doanh và tài sản của Công ty bảo hiểm nêu trên; hoặc</w:t>
      </w:r>
    </w:p>
    <w:p w:rsidR="003D6CAD" w:rsidRPr="008354C2" w:rsidRDefault="008044FE" w:rsidP="003D6CAD">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(ii) Việc giải thể hoặc loại bỏ Hoạt động kinh doanh bảo hiểm theo nghị quyết, hoặc vụ sáp nhập theo kế hoạch không tạo rủi ro cho việc bảo vệ Chủ hợp đồng bảo hiểm.”</w:t>
      </w:r>
    </w:p>
    <w:p w:rsidR="003D6CAD" w:rsidRPr="008354C2" w:rsidRDefault="003D6CAD" w:rsidP="003D6CAD">
      <w:pPr>
        <w:spacing w:after="0"/>
        <w:jc w:val="both"/>
        <w:rPr>
          <w:rFonts w:ascii="Times New Roman" w:eastAsia="Century" w:hAnsi="Times New Roman" w:cs="Times New Roman"/>
          <w:sz w:val="28"/>
          <w:szCs w:val="28"/>
          <w:lang w:val="vi-VN" w:eastAsia="ja-JP" w:bidi="ja-JP"/>
        </w:rPr>
      </w:pPr>
      <w:r w:rsidRPr="008354C2">
        <w:rPr>
          <w:rFonts w:ascii="Times New Roman" w:eastAsia="Arial" w:hAnsi="Times New Roman" w:cs="Times New Roman"/>
          <w:i/>
          <w:sz w:val="28"/>
          <w:szCs w:val="28"/>
          <w:lang w:val="vi-VN"/>
        </w:rPr>
        <w:t xml:space="preserve">- </w:t>
      </w:r>
      <w:r w:rsidRPr="008354C2">
        <w:rPr>
          <w:rFonts w:ascii="Times New Roman" w:eastAsia="Arial" w:hAnsi="Times New Roman" w:cs="Times New Roman"/>
          <w:sz w:val="28"/>
          <w:szCs w:val="28"/>
          <w:lang w:val="vi-VN"/>
        </w:rPr>
        <w:t>Công bố về việc giải thể:</w:t>
      </w:r>
      <w:r w:rsidRPr="008354C2">
        <w:rPr>
          <w:rFonts w:ascii="Times New Roman" w:eastAsia="Arial" w:hAnsi="Times New Roman" w:cs="Times New Roman"/>
          <w:i/>
          <w:sz w:val="28"/>
          <w:szCs w:val="28"/>
          <w:lang w:val="vi-VN"/>
        </w:rPr>
        <w:t xml:space="preserve"> </w:t>
      </w:r>
      <w:r w:rsidRPr="008354C2">
        <w:rPr>
          <w:rFonts w:ascii="Times New Roman" w:eastAsia="Century" w:hAnsi="Times New Roman" w:cs="Times New Roman"/>
          <w:sz w:val="28"/>
          <w:szCs w:val="28"/>
          <w:lang w:val="vi-VN" w:eastAsia="ja-JP" w:bidi="ja-JP"/>
        </w:rPr>
        <w:t>Điều 154 quy định:</w:t>
      </w:r>
    </w:p>
    <w:p w:rsidR="003D6CAD" w:rsidRPr="008354C2" w:rsidRDefault="003D6CAD" w:rsidP="003D6CAD">
      <w:pPr>
        <w:spacing w:after="0"/>
        <w:jc w:val="both"/>
        <w:rPr>
          <w:rFonts w:ascii="Times New Roman" w:eastAsia="Century" w:hAnsi="Times New Roman" w:cs="Times New Roman"/>
          <w:i/>
          <w:sz w:val="28"/>
          <w:szCs w:val="28"/>
          <w:lang w:val="vi-VN" w:eastAsia="ja-JP" w:bidi="ja-JP"/>
        </w:rPr>
      </w:pPr>
      <w:r w:rsidRPr="008354C2">
        <w:rPr>
          <w:rFonts w:ascii="Times New Roman" w:eastAsia="Century" w:hAnsi="Times New Roman" w:cs="Times New Roman"/>
          <w:i/>
          <w:sz w:val="28"/>
          <w:szCs w:val="28"/>
          <w:lang w:val="vi-VN" w:eastAsia="ja-JP" w:bidi="ja-JP"/>
        </w:rPr>
        <w:t>“Sau khi được cấp giấy phép theo quy định tại khoản (1) Công ty bảo hiểm, ở Điều trước phải gửi ngay công bố với hiệu lực và thông tin chi tiết về các vấn đề theo đó giấy phép được cấp theo các quy định trong Pháp lệnh của Văn phòng Nội các.”</w:t>
      </w:r>
    </w:p>
    <w:p w:rsidR="003D6CAD" w:rsidRPr="008354C2" w:rsidRDefault="003D6CAD" w:rsidP="000240F2">
      <w:pPr>
        <w:spacing w:before="6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260 quy định thuật ngữ “Công ty bảo hiểm phá sản”:</w:t>
      </w:r>
    </w:p>
    <w:p w:rsidR="003D6CAD" w:rsidRPr="008354C2" w:rsidRDefault="00446DF9" w:rsidP="000240F2">
      <w:pPr>
        <w:spacing w:after="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w:t>
      </w:r>
      <w:r w:rsidR="003D6CAD" w:rsidRPr="008354C2">
        <w:rPr>
          <w:rFonts w:ascii="Times New Roman" w:eastAsia="Arial" w:hAnsi="Times New Roman" w:cs="Times New Roman"/>
          <w:i/>
          <w:sz w:val="28"/>
          <w:szCs w:val="28"/>
          <w:lang w:val="vi-VN"/>
        </w:rPr>
        <w:t>(2) Thuật ngữ “Công ty bảo hiểm phá sản” được sử dụng trong Mục này có nghĩa là:</w:t>
      </w:r>
    </w:p>
    <w:p w:rsidR="003D6CAD" w:rsidRPr="008354C2" w:rsidRDefault="003D6CAD" w:rsidP="000240F2">
      <w:pPr>
        <w:widowControl w:val="0"/>
        <w:numPr>
          <w:ilvl w:val="0"/>
          <w:numId w:val="13"/>
        </w:numPr>
        <w:tabs>
          <w:tab w:val="left" w:pos="514"/>
        </w:tabs>
        <w:autoSpaceDE w:val="0"/>
        <w:autoSpaceDN w:val="0"/>
        <w:spacing w:after="0"/>
        <w:ind w:left="0" w:right="224" w:firstLine="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Một công ty có khả năng ngừng thanh toán các yêu cầu bồi thường bảo hiểm hoặc đã đình chỉ việc thanh toán các yêu cầu bồi thường bảo hiểm do tình trạng kinh doanh hoặc tài sản của công ty (trong trường hợp các Công ty bảo hiểm nước ngoài tài sản đặt tại Nhật Bản); sau đây phải áp dụng quy định tương tự trong điểm sau);</w:t>
      </w:r>
    </w:p>
    <w:p w:rsidR="00446DF9" w:rsidRPr="008354C2" w:rsidRDefault="003D6CAD" w:rsidP="000240F2">
      <w:pPr>
        <w:widowControl w:val="0"/>
        <w:numPr>
          <w:ilvl w:val="0"/>
          <w:numId w:val="13"/>
        </w:numPr>
        <w:tabs>
          <w:tab w:val="left" w:pos="562"/>
        </w:tabs>
        <w:autoSpaceDE w:val="0"/>
        <w:autoSpaceDN w:val="0"/>
        <w:spacing w:after="0"/>
        <w:ind w:left="0" w:right="220" w:firstLine="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Công ty không thể đáp ứng các nghĩa vụ của công ty bằng tài sản hoặc một công ty nơi phát sinh tình huống khiến doanh nghiệp mất khả năng thực hiện nghĩa vụ bằng tài sản của mình.</w:t>
      </w:r>
      <w:r w:rsidR="00446DF9" w:rsidRPr="008354C2">
        <w:rPr>
          <w:rFonts w:ascii="Times New Roman" w:eastAsia="Arial" w:hAnsi="Times New Roman" w:cs="Times New Roman"/>
          <w:i/>
          <w:sz w:val="28"/>
          <w:szCs w:val="28"/>
          <w:lang w:val="vi-VN"/>
        </w:rPr>
        <w:t>”</w:t>
      </w:r>
    </w:p>
    <w:p w:rsidR="003D6CAD" w:rsidRPr="008354C2" w:rsidRDefault="003D6CAD" w:rsidP="000240F2">
      <w:pPr>
        <w:widowControl w:val="0"/>
        <w:tabs>
          <w:tab w:val="left" w:pos="562"/>
        </w:tabs>
        <w:autoSpaceDE w:val="0"/>
        <w:autoSpaceDN w:val="0"/>
        <w:spacing w:after="0"/>
        <w:ind w:right="220"/>
        <w:jc w:val="both"/>
        <w:rPr>
          <w:rFonts w:ascii="Times New Roman" w:eastAsia="Arial" w:hAnsi="Times New Roman" w:cs="Times New Roman"/>
          <w:i/>
          <w:sz w:val="28"/>
          <w:szCs w:val="28"/>
          <w:u w:val="single"/>
          <w:lang w:val="vi-VN"/>
        </w:rPr>
      </w:pPr>
      <w:r w:rsidRPr="008354C2">
        <w:rPr>
          <w:rFonts w:ascii="Times New Roman" w:eastAsia="Arial" w:hAnsi="Times New Roman" w:cs="Times New Roman"/>
          <w:i/>
          <w:sz w:val="28"/>
          <w:szCs w:val="28"/>
          <w:u w:val="single"/>
          <w:lang w:val="vi-VN"/>
        </w:rPr>
        <w:t>(Phá sản dẫn đến ủy quyền, nhận chuyển giao hợp đồng)</w:t>
      </w:r>
    </w:p>
    <w:p w:rsidR="00E76C6B" w:rsidRPr="008354C2" w:rsidRDefault="00E76C6B" w:rsidP="00E76C6B">
      <w:pPr>
        <w:widowControl w:val="0"/>
        <w:tabs>
          <w:tab w:val="left" w:pos="562"/>
        </w:tabs>
        <w:autoSpaceDE w:val="0"/>
        <w:autoSpaceDN w:val="0"/>
        <w:spacing w:before="120" w:after="120" w:line="240" w:lineRule="auto"/>
        <w:ind w:right="2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7.6. Đức</w:t>
      </w:r>
    </w:p>
    <w:p w:rsidR="00E76C6B" w:rsidRPr="008354C2" w:rsidRDefault="00E76C6B" w:rsidP="00E76C6B">
      <w:pPr>
        <w:widowControl w:val="0"/>
        <w:tabs>
          <w:tab w:val="left" w:pos="562"/>
        </w:tabs>
        <w:autoSpaceDE w:val="0"/>
        <w:autoSpaceDN w:val="0"/>
        <w:spacing w:before="120" w:after="120" w:line="240" w:lineRule="auto"/>
        <w:ind w:right="2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Theo quy định tại Luật Hợp đồng bảo hiểm Đức:</w:t>
      </w:r>
    </w:p>
    <w:p w:rsidR="00E76C6B" w:rsidRPr="008354C2" w:rsidRDefault="00E76C6B" w:rsidP="00E76C6B">
      <w:pPr>
        <w:spacing w:before="60" w:after="60" w:line="259" w:lineRule="auto"/>
        <w:rPr>
          <w:rFonts w:ascii="Times New Roman" w:eastAsia="Arial" w:hAnsi="Times New Roman" w:cs="Times New Roman"/>
          <w:sz w:val="28"/>
          <w:lang w:val="vi-VN"/>
        </w:rPr>
      </w:pPr>
      <w:r w:rsidRPr="008354C2">
        <w:rPr>
          <w:rFonts w:ascii="Times New Roman" w:eastAsia="Arial" w:hAnsi="Times New Roman" w:cs="Times New Roman"/>
          <w:sz w:val="28"/>
          <w:lang w:val="vi-VN"/>
        </w:rPr>
        <w:t>- Điều 16. Công ty bảo hiểm phá sản</w:t>
      </w:r>
    </w:p>
    <w:p w:rsidR="00E76C6B" w:rsidRPr="008354C2" w:rsidRDefault="00E76C6B" w:rsidP="00E76C6B">
      <w:pPr>
        <w:spacing w:after="120" w:line="259" w:lineRule="auto"/>
        <w:jc w:val="both"/>
        <w:rPr>
          <w:rFonts w:ascii="Times New Roman" w:eastAsia="Arial" w:hAnsi="Times New Roman" w:cs="Times New Roman"/>
          <w:i/>
          <w:sz w:val="28"/>
          <w:lang w:val="vi-VN"/>
        </w:rPr>
      </w:pPr>
      <w:r w:rsidRPr="008354C2">
        <w:rPr>
          <w:rFonts w:ascii="Times New Roman" w:eastAsia="Arial" w:hAnsi="Times New Roman" w:cs="Times New Roman"/>
          <w:i/>
          <w:sz w:val="28"/>
          <w:lang w:val="vi-VN"/>
        </w:rPr>
        <w:t>“(1) Nếu các thủ tục phá sản được áp dụng đối với tài sản của công ty bảo hiểm thì hợp đồng bảo hiểm sẽ chấm dứt sau một tháng kể từ khi các thủ tục này được tiến hành, và cho đến thời điểm đó thì hợp đồng bảo hiểm vẫn còn hiệu lực đối với doanh nghiệp phá sản.</w:t>
      </w:r>
    </w:p>
    <w:p w:rsidR="00E76C6B" w:rsidRPr="008354C2" w:rsidRDefault="00E76C6B" w:rsidP="00E76C6B">
      <w:pPr>
        <w:spacing w:after="120" w:line="259" w:lineRule="auto"/>
        <w:jc w:val="both"/>
        <w:rPr>
          <w:rFonts w:ascii="Times New Roman" w:eastAsia="Arial" w:hAnsi="Times New Roman" w:cs="Times New Roman"/>
          <w:i/>
          <w:sz w:val="28"/>
          <w:lang w:val="vi-VN"/>
        </w:rPr>
      </w:pPr>
      <w:r w:rsidRPr="008354C2">
        <w:rPr>
          <w:rFonts w:ascii="Times New Roman" w:eastAsia="Arial" w:hAnsi="Times New Roman" w:cs="Times New Roman"/>
          <w:i/>
          <w:sz w:val="28"/>
          <w:lang w:val="vi-VN"/>
        </w:rPr>
        <w:t>(2) Các quy định của Luật Giám sát Bảo hiểm liên quan đến các tác động của việc triển khai thủ tục phá sản sẽ không bị ảnh hưởng.”</w:t>
      </w:r>
    </w:p>
    <w:p w:rsidR="00E76C6B" w:rsidRPr="008354C2" w:rsidRDefault="00E76C6B" w:rsidP="00E76C6B">
      <w:pPr>
        <w:spacing w:before="60" w:after="60" w:line="259" w:lineRule="auto"/>
        <w:rPr>
          <w:rFonts w:ascii="Times New Roman" w:eastAsia="Arial" w:hAnsi="Times New Roman" w:cs="Times New Roman"/>
          <w:sz w:val="28"/>
          <w:lang w:val="vi-VN"/>
        </w:rPr>
      </w:pPr>
      <w:r w:rsidRPr="008354C2">
        <w:rPr>
          <w:rFonts w:ascii="Times New Roman" w:eastAsia="Arial" w:hAnsi="Times New Roman" w:cs="Times New Roman"/>
          <w:sz w:val="28"/>
          <w:lang w:val="vi-VN"/>
        </w:rPr>
        <w:t>- Điều 110. Chủ hợp đồng bảo hiểm phá sản</w:t>
      </w:r>
    </w:p>
    <w:p w:rsidR="00E76C6B" w:rsidRPr="008354C2" w:rsidRDefault="00E76C6B" w:rsidP="00E76C6B">
      <w:pPr>
        <w:spacing w:after="120"/>
        <w:jc w:val="both"/>
        <w:rPr>
          <w:rFonts w:ascii="Times New Roman" w:eastAsia="Arial" w:hAnsi="Times New Roman" w:cs="Times New Roman"/>
          <w:i/>
          <w:sz w:val="28"/>
          <w:lang w:val="vi-VN"/>
        </w:rPr>
      </w:pPr>
      <w:r w:rsidRPr="008354C2">
        <w:rPr>
          <w:rFonts w:ascii="Times New Roman" w:eastAsia="Arial" w:hAnsi="Times New Roman" w:cs="Times New Roman"/>
          <w:i/>
          <w:sz w:val="28"/>
          <w:lang w:val="vi-VN"/>
        </w:rPr>
        <w:t>“Trong trường hợp thủ tục phá sản được mở liên quan đến tài sản của chủ hợp đồng bảo hiểm thì bên thứ ba có thể yêu cầu thực hiện riêng rẽ từ quyền truy đòi của chủ hợp đồng bảo hiểm trên cơ sở yêu cầu bồi thường đối với chủ hợp đồng bảo hiểm.”</w:t>
      </w:r>
    </w:p>
    <w:p w:rsidR="00E76C6B" w:rsidRPr="008354C2" w:rsidRDefault="00E76C6B" w:rsidP="00E76C6B">
      <w:pPr>
        <w:spacing w:before="60" w:after="60" w:line="259" w:lineRule="auto"/>
        <w:rPr>
          <w:rFonts w:ascii="Times New Roman" w:eastAsia="Arial" w:hAnsi="Times New Roman" w:cs="Times New Roman"/>
          <w:sz w:val="28"/>
          <w:lang w:val="vi-VN"/>
        </w:rPr>
      </w:pPr>
      <w:r w:rsidRPr="008354C2">
        <w:rPr>
          <w:rFonts w:ascii="Times New Roman" w:eastAsia="Arial" w:hAnsi="Times New Roman" w:cs="Times New Roman"/>
          <w:sz w:val="28"/>
          <w:lang w:val="vi-VN"/>
        </w:rPr>
        <w:t>- Điều 117. Trách nhiệm với bên thứ ba</w:t>
      </w:r>
    </w:p>
    <w:p w:rsidR="00E76C6B" w:rsidRPr="008354C2" w:rsidRDefault="00E76C6B" w:rsidP="00E76C6B">
      <w:pPr>
        <w:spacing w:after="120" w:line="259" w:lineRule="auto"/>
        <w:jc w:val="both"/>
        <w:rPr>
          <w:rFonts w:ascii="Times New Roman" w:eastAsia="Arial" w:hAnsi="Times New Roman" w:cs="Times New Roman"/>
          <w:i/>
          <w:sz w:val="28"/>
          <w:lang w:val="vi-VN"/>
        </w:rPr>
      </w:pPr>
      <w:r w:rsidRPr="008354C2">
        <w:rPr>
          <w:rFonts w:ascii="Times New Roman" w:eastAsia="Arial" w:hAnsi="Times New Roman" w:cs="Times New Roman"/>
          <w:i/>
          <w:sz w:val="28"/>
          <w:lang w:val="vi-VN"/>
        </w:rPr>
        <w:t>“(6) Trường hợp thủ tục phá sản được mở đối với tài sản của công ty bảo hiểm thì hợp đồng bảo hiểm sẽ không chấm dứt, bất kể Điều 16, cho đến hết 1 tháng kể từ khi người quản lý phá sản thông báo cho cơ quan thẩm quyền về tình huống này; cho đến thời điểm hợp đồng này vẫn còn hiệu lực đối với tài sản khánh tận. Nếu không có cơ quan thẩm quyền nào được chỉ định nhận thông báo, hợp đồng bảo hiểm sẽ kết thúc sau 1 tháng kể từ khi chủ hợp đồng bảo hiểm được thông báo về việc mở thủ tục phá sản; thông báo phải được thực hiện bằng văn bản.”</w:t>
      </w:r>
    </w:p>
    <w:p w:rsidR="00E76C6B" w:rsidRPr="008354C2" w:rsidRDefault="00E76C6B" w:rsidP="00E76C6B">
      <w:pPr>
        <w:spacing w:before="60" w:after="60" w:line="259" w:lineRule="auto"/>
        <w:rPr>
          <w:rFonts w:ascii="Times New Roman" w:eastAsia="Arial" w:hAnsi="Times New Roman" w:cs="Times New Roman"/>
          <w:sz w:val="28"/>
          <w:lang w:val="vi-VN"/>
        </w:rPr>
      </w:pPr>
      <w:r w:rsidRPr="008354C2">
        <w:rPr>
          <w:rFonts w:ascii="Times New Roman" w:eastAsia="Arial" w:hAnsi="Times New Roman" w:cs="Times New Roman"/>
          <w:sz w:val="28"/>
          <w:lang w:val="vi-VN"/>
        </w:rPr>
        <w:t>- Điều 170. Quyền thay mặt đòi bồi thường</w:t>
      </w:r>
    </w:p>
    <w:p w:rsidR="000240F2" w:rsidRPr="0064777E" w:rsidRDefault="00E76C6B" w:rsidP="00B428FD">
      <w:pPr>
        <w:spacing w:after="160" w:line="259" w:lineRule="auto"/>
        <w:jc w:val="both"/>
        <w:rPr>
          <w:rFonts w:ascii="Times New Roman" w:eastAsia="Arial" w:hAnsi="Times New Roman" w:cs="Times New Roman"/>
          <w:i/>
          <w:sz w:val="28"/>
          <w:lang w:val="vi-VN"/>
        </w:rPr>
      </w:pPr>
      <w:r w:rsidRPr="008354C2">
        <w:rPr>
          <w:rFonts w:ascii="Times New Roman" w:eastAsia="Arial" w:hAnsi="Times New Roman" w:cs="Times New Roman"/>
          <w:i/>
          <w:sz w:val="28"/>
          <w:lang w:val="vi-VN"/>
        </w:rPr>
        <w:t>“(1) Nếu các phụ lục được ký kết liên quan đến yêu cầu bồi thường bảo hiểm hoặc thực thi bắt buộc đã được thực hiện hoặc các thủ tục phá sản được mở đối với tài sản của chủ hợp đồng bảo hiểm thì người thụ hưởng được chỉ định, với sự đồng ý của chủ hợp đồng bảo hiểm, có thể thay mặt đòi bồi thường hợp đồng bảo hiểm. Trường hợp người thụ hưởng thay mặt đòi bồi thường, thì phải đáp ứng các yêu cầu của chủ nợ thực hiện các tố tụng hoặc của tài sản khánh tận tối đa bằng số tiền chi trả mà chủ hợp đồng bảo hiểm có thể đòi từ công ty bảo hiểm trong trường hợp chấm dứt hợp đồng bảo hiểm.”</w:t>
      </w:r>
    </w:p>
    <w:p w:rsidR="00B428FD" w:rsidRPr="0064777E" w:rsidRDefault="00B428FD" w:rsidP="00B428FD">
      <w:pPr>
        <w:spacing w:after="160" w:line="259" w:lineRule="auto"/>
        <w:jc w:val="both"/>
        <w:rPr>
          <w:rFonts w:ascii="Times New Roman" w:eastAsia="Arial" w:hAnsi="Times New Roman" w:cs="Times New Roman"/>
          <w:b/>
          <w:sz w:val="28"/>
          <w:szCs w:val="28"/>
          <w:lang w:val="vi-VN"/>
        </w:rPr>
      </w:pPr>
    </w:p>
    <w:p w:rsidR="000240F2" w:rsidRPr="008354C2" w:rsidRDefault="000240F2" w:rsidP="00CD4A7C">
      <w:pPr>
        <w:spacing w:after="0"/>
        <w:jc w:val="center"/>
        <w:rPr>
          <w:rFonts w:ascii="Times New Roman" w:eastAsia="Arial" w:hAnsi="Times New Roman" w:cs="Times New Roman"/>
          <w:b/>
          <w:sz w:val="28"/>
          <w:szCs w:val="28"/>
          <w:lang w:val="vi-VN"/>
        </w:rPr>
      </w:pPr>
    </w:p>
    <w:p w:rsidR="000240F2" w:rsidRPr="008354C2" w:rsidRDefault="000240F2" w:rsidP="00CD4A7C">
      <w:pPr>
        <w:spacing w:after="0"/>
        <w:jc w:val="center"/>
        <w:rPr>
          <w:rFonts w:ascii="Times New Roman" w:eastAsia="Arial" w:hAnsi="Times New Roman" w:cs="Times New Roman"/>
          <w:b/>
          <w:sz w:val="28"/>
          <w:szCs w:val="28"/>
          <w:lang w:val="vi-VN"/>
        </w:rPr>
      </w:pPr>
    </w:p>
    <w:p w:rsidR="000240F2" w:rsidRPr="008354C2" w:rsidRDefault="000240F2" w:rsidP="00CD4A7C">
      <w:pPr>
        <w:spacing w:after="0"/>
        <w:jc w:val="center"/>
        <w:rPr>
          <w:rFonts w:ascii="Times New Roman" w:eastAsia="Arial" w:hAnsi="Times New Roman" w:cs="Times New Roman"/>
          <w:b/>
          <w:sz w:val="28"/>
          <w:szCs w:val="28"/>
          <w:lang w:val="vi-VN"/>
        </w:rPr>
      </w:pPr>
    </w:p>
    <w:p w:rsidR="000240F2" w:rsidRPr="008354C2" w:rsidRDefault="000240F2" w:rsidP="00CD4A7C">
      <w:pPr>
        <w:spacing w:after="0"/>
        <w:jc w:val="center"/>
        <w:rPr>
          <w:rFonts w:ascii="Times New Roman" w:eastAsia="Arial" w:hAnsi="Times New Roman" w:cs="Times New Roman"/>
          <w:b/>
          <w:sz w:val="28"/>
          <w:szCs w:val="28"/>
          <w:lang w:val="vi-VN"/>
        </w:rPr>
      </w:pPr>
    </w:p>
    <w:p w:rsidR="003D1C5C" w:rsidRPr="008354C2" w:rsidRDefault="006433E2" w:rsidP="00CD4A7C">
      <w:pPr>
        <w:spacing w:after="0"/>
        <w:jc w:val="center"/>
        <w:rPr>
          <w:rFonts w:ascii="Times New Roman" w:eastAsia="Calibri" w:hAnsi="Times New Roman" w:cs="Times New Roman"/>
          <w:b/>
          <w:sz w:val="28"/>
          <w:szCs w:val="28"/>
          <w:lang w:val="vi-VN"/>
        </w:rPr>
      </w:pPr>
      <w:r w:rsidRPr="008354C2">
        <w:rPr>
          <w:rFonts w:ascii="Times New Roman" w:eastAsia="Arial" w:hAnsi="Times New Roman" w:cs="Times New Roman"/>
          <w:b/>
          <w:sz w:val="28"/>
          <w:szCs w:val="28"/>
          <w:lang w:val="vi-VN"/>
        </w:rPr>
        <w:t xml:space="preserve">II. </w:t>
      </w:r>
      <w:r w:rsidR="00B079A9" w:rsidRPr="008354C2">
        <w:rPr>
          <w:rFonts w:ascii="Times New Roman" w:eastAsia="Arial" w:hAnsi="Times New Roman" w:cs="Times New Roman"/>
          <w:b/>
          <w:sz w:val="28"/>
          <w:szCs w:val="28"/>
          <w:lang w:val="vi-VN"/>
        </w:rPr>
        <w:t xml:space="preserve">CHÍNH SÁCH 2: </w:t>
      </w:r>
      <w:r w:rsidR="004774EE" w:rsidRPr="008354C2">
        <w:rPr>
          <w:rFonts w:ascii="Times New Roman" w:eastAsia="Arial" w:hAnsi="Times New Roman" w:cs="Times New Roman"/>
          <w:b/>
          <w:sz w:val="28"/>
          <w:szCs w:val="28"/>
          <w:lang w:val="vi-VN"/>
        </w:rPr>
        <w:t>HOÀN THIỆN CÁC QUY ĐỊNH VỀ MÔ HÌNH TÀI CHÍNH ĐỐI VỚI CÁC DOANH NGHIỆP BẢO HIỂM</w:t>
      </w:r>
    </w:p>
    <w:p w:rsidR="00EE5B9F" w:rsidRPr="008354C2" w:rsidRDefault="00EE5B9F" w:rsidP="004774E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1. Quy định về quản lý tài chính doanh n</w:t>
      </w:r>
      <w:r w:rsidR="00623148" w:rsidRPr="008354C2">
        <w:rPr>
          <w:rFonts w:ascii="Times New Roman" w:eastAsia="Arial" w:hAnsi="Times New Roman" w:cs="Times New Roman"/>
          <w:b/>
          <w:sz w:val="28"/>
          <w:szCs w:val="28"/>
          <w:lang w:val="vi-VN"/>
        </w:rPr>
        <w:t>ghiệp</w:t>
      </w:r>
      <w:r w:rsidR="00FF3592" w:rsidRPr="008354C2">
        <w:rPr>
          <w:rFonts w:ascii="Times New Roman" w:eastAsia="Arial" w:hAnsi="Times New Roman" w:cs="Times New Roman"/>
          <w:b/>
          <w:sz w:val="28"/>
          <w:szCs w:val="28"/>
          <w:lang w:val="vi-VN"/>
        </w:rPr>
        <w:t xml:space="preserve"> bảo hiểm</w:t>
      </w:r>
    </w:p>
    <w:p w:rsidR="003D1C5C" w:rsidRPr="008354C2" w:rsidRDefault="003D1C5C" w:rsidP="004774E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1.1. Quy định về vốn</w:t>
      </w:r>
      <w:r w:rsidR="00EA42AD" w:rsidRPr="008354C2">
        <w:rPr>
          <w:rFonts w:ascii="Times New Roman" w:eastAsia="Arial" w:hAnsi="Times New Roman" w:cs="Times New Roman"/>
          <w:b/>
          <w:sz w:val="28"/>
          <w:szCs w:val="28"/>
          <w:lang w:val="vi-VN"/>
        </w:rPr>
        <w:t xml:space="preserve"> </w:t>
      </w:r>
      <w:r w:rsidR="00E51CDC" w:rsidRPr="008354C2">
        <w:rPr>
          <w:rFonts w:ascii="Times New Roman" w:eastAsia="Arial" w:hAnsi="Times New Roman" w:cs="Times New Roman"/>
          <w:b/>
          <w:sz w:val="28"/>
          <w:szCs w:val="28"/>
          <w:lang w:val="vi-VN"/>
        </w:rPr>
        <w:t xml:space="preserve">tối thiểu </w:t>
      </w:r>
      <w:r w:rsidR="001B4689" w:rsidRPr="008354C2">
        <w:rPr>
          <w:rFonts w:ascii="Times New Roman" w:eastAsia="Arial" w:hAnsi="Times New Roman" w:cs="Times New Roman"/>
          <w:b/>
          <w:sz w:val="28"/>
          <w:szCs w:val="28"/>
          <w:lang w:val="vi-VN"/>
        </w:rPr>
        <w:t>và vốn trên cơ sở rủi ro</w:t>
      </w:r>
    </w:p>
    <w:p w:rsidR="001B4689" w:rsidRPr="008354C2" w:rsidRDefault="001B4689" w:rsidP="004774E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1.1.1. </w:t>
      </w:r>
      <w:r w:rsidR="007E6C1F" w:rsidRPr="008354C2">
        <w:rPr>
          <w:rFonts w:ascii="Times New Roman" w:eastAsia="Arial" w:hAnsi="Times New Roman" w:cs="Times New Roman"/>
          <w:b/>
          <w:sz w:val="28"/>
          <w:szCs w:val="28"/>
          <w:lang w:val="vi-VN"/>
        </w:rPr>
        <w:t xml:space="preserve">Quy định về vốn </w:t>
      </w:r>
      <w:r w:rsidR="00E51CDC" w:rsidRPr="008354C2">
        <w:rPr>
          <w:rFonts w:ascii="Times New Roman" w:eastAsia="Arial" w:hAnsi="Times New Roman" w:cs="Times New Roman"/>
          <w:b/>
          <w:sz w:val="28"/>
          <w:szCs w:val="28"/>
          <w:lang w:val="vi-VN"/>
        </w:rPr>
        <w:t>tối thiểu</w:t>
      </w:r>
    </w:p>
    <w:p w:rsidR="007E6C1F" w:rsidRPr="008354C2" w:rsidRDefault="007E6C1F" w:rsidP="00743205">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Nhật Bản, Trung Quốc, Singapore đều có quy định về vốn tối thiểu khi thành lập doanh nghiệp bảo hiểm. Cụ thể</w:t>
      </w:r>
      <w:r w:rsidR="0052446F" w:rsidRPr="008354C2">
        <w:rPr>
          <w:rFonts w:ascii="Times New Roman" w:eastAsia="Arial" w:hAnsi="Times New Roman" w:cs="Times New Roman"/>
          <w:sz w:val="28"/>
          <w:szCs w:val="28"/>
          <w:lang w:val="vi-VN"/>
        </w:rPr>
        <w:t xml:space="preserve"> như sau:</w:t>
      </w:r>
    </w:p>
    <w:p w:rsidR="007E6C1F" w:rsidRPr="008354C2" w:rsidRDefault="007E6C1F" w:rsidP="00743205">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1.1.1.1. Nhật Bản</w:t>
      </w:r>
    </w:p>
    <w:p w:rsidR="007E6C1F" w:rsidRPr="008354C2" w:rsidRDefault="007E6C1F" w:rsidP="00743205">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Điều 6 Luật bảo hiểm Nhật Bản quy định</w:t>
      </w:r>
    </w:p>
    <w:p w:rsidR="007E6C1F" w:rsidRPr="008354C2" w:rsidRDefault="004000E5" w:rsidP="00743205">
      <w:pPr>
        <w:spacing w:before="120" w:after="120"/>
        <w:jc w:val="both"/>
        <w:rPr>
          <w:rFonts w:ascii="Times New Roman" w:eastAsia="Arial" w:hAnsi="Times New Roman" w:cs="Times New Roman"/>
          <w:b/>
          <w:i/>
          <w:sz w:val="28"/>
          <w:szCs w:val="28"/>
          <w:lang w:val="vi-VN"/>
        </w:rPr>
      </w:pPr>
      <w:r w:rsidRPr="008354C2">
        <w:rPr>
          <w:rFonts w:ascii="Times New Roman" w:eastAsia="Arial" w:hAnsi="Times New Roman" w:cs="Times New Roman"/>
          <w:i/>
          <w:sz w:val="28"/>
          <w:szCs w:val="28"/>
          <w:lang w:val="vi-VN"/>
        </w:rPr>
        <w:t>“</w:t>
      </w:r>
      <w:r w:rsidR="007E6C1F" w:rsidRPr="008354C2">
        <w:rPr>
          <w:rFonts w:ascii="Times New Roman" w:eastAsia="Arial" w:hAnsi="Times New Roman" w:cs="Times New Roman"/>
          <w:i/>
          <w:sz w:val="28"/>
          <w:szCs w:val="28"/>
          <w:lang w:val="vi-VN"/>
        </w:rPr>
        <w:t>(1) Số vốn hoặc tổng của các quỹ của doanh nghiệp bảo hiểm (bao gồm dự phòng cho việc hoàn lại các quỹ theo quy định tại Điều 56) không được thấp hơn mức quy định của Nội các Chính phủ.</w:t>
      </w:r>
    </w:p>
    <w:p w:rsidR="007E6C1F" w:rsidRPr="008354C2" w:rsidRDefault="007E6C1F" w:rsidP="00743205">
      <w:pPr>
        <w:spacing w:before="120"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(2) Số tiền quy định của Nội các Chính phủ ở đoạn trên không thấp hơn 1 tỷ Yên.</w:t>
      </w:r>
      <w:r w:rsidR="004000E5" w:rsidRPr="008354C2">
        <w:rPr>
          <w:rFonts w:ascii="Times New Roman" w:eastAsia="Arial" w:hAnsi="Times New Roman" w:cs="Times New Roman"/>
          <w:i/>
          <w:sz w:val="28"/>
          <w:szCs w:val="28"/>
          <w:lang w:val="vi-VN"/>
        </w:rPr>
        <w:t>”</w:t>
      </w:r>
    </w:p>
    <w:p w:rsidR="00743205" w:rsidRPr="008354C2" w:rsidRDefault="00743205" w:rsidP="00743205">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1.1.1.2. Trung Quốc</w:t>
      </w:r>
    </w:p>
    <w:p w:rsidR="007E6C1F" w:rsidRPr="008354C2" w:rsidRDefault="007E6C1F" w:rsidP="00743205">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Điều 69 Luật kinh doanh bảo hiểm Trung Quốc quy định:</w:t>
      </w:r>
    </w:p>
    <w:p w:rsidR="007E6C1F" w:rsidRPr="008354C2" w:rsidRDefault="00BD340F" w:rsidP="00743205">
      <w:pPr>
        <w:spacing w:before="120"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w:t>
      </w:r>
      <w:r w:rsidR="00A852E3" w:rsidRPr="008354C2">
        <w:rPr>
          <w:rFonts w:ascii="Times New Roman" w:eastAsia="Arial" w:hAnsi="Times New Roman" w:cs="Times New Roman"/>
          <w:i/>
          <w:sz w:val="28"/>
          <w:szCs w:val="28"/>
          <w:lang w:val="vi-VN"/>
        </w:rPr>
        <w:t xml:space="preserve">(1) </w:t>
      </w:r>
      <w:r w:rsidR="007E6C1F" w:rsidRPr="008354C2">
        <w:rPr>
          <w:rFonts w:ascii="Times New Roman" w:eastAsia="Arial" w:hAnsi="Times New Roman" w:cs="Times New Roman"/>
          <w:i/>
          <w:sz w:val="28"/>
          <w:szCs w:val="28"/>
          <w:lang w:val="vi-VN"/>
        </w:rPr>
        <w:t>Số vốn đăng ký tối thiểu đối với một công ty bảo hiểm được thành lập là 200 triệu RMB.</w:t>
      </w:r>
    </w:p>
    <w:p w:rsidR="007E6C1F" w:rsidRPr="008354C2" w:rsidRDefault="00A852E3" w:rsidP="00743205">
      <w:pPr>
        <w:spacing w:before="120"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(2) </w:t>
      </w:r>
      <w:r w:rsidR="007E6C1F" w:rsidRPr="008354C2">
        <w:rPr>
          <w:rFonts w:ascii="Times New Roman" w:eastAsia="Arial" w:hAnsi="Times New Roman" w:cs="Times New Roman"/>
          <w:i/>
          <w:sz w:val="28"/>
          <w:szCs w:val="28"/>
          <w:lang w:val="vi-VN"/>
        </w:rPr>
        <w:t>Cơ quan quản lý bảo hiểm thuộc Chính phủ có thể điều chỉnh số vốn đăng ký/điều lệ tối thiểu đối với công ty bảo hiểm dựa trên phạm vi kinh doanh hoặc quy mô của công ty bảo hiểm, nhưng số tiền không được thấp hơn số tiền quy định tại khoản 1 của điều này.</w:t>
      </w:r>
    </w:p>
    <w:p w:rsidR="007E6C1F" w:rsidRPr="008354C2" w:rsidRDefault="007E6C1F" w:rsidP="00743205">
      <w:pPr>
        <w:spacing w:before="120"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Vốn đăng ký/điều lệ của công ty bảo hiểm phải được thanh toán bằng vốn góp bằng tiền tệ.</w:t>
      </w:r>
      <w:r w:rsidR="00BD340F" w:rsidRPr="008354C2">
        <w:rPr>
          <w:rFonts w:ascii="Times New Roman" w:eastAsia="Arial" w:hAnsi="Times New Roman" w:cs="Times New Roman"/>
          <w:i/>
          <w:sz w:val="28"/>
          <w:szCs w:val="28"/>
          <w:lang w:val="vi-VN"/>
        </w:rPr>
        <w:t>”</w:t>
      </w:r>
    </w:p>
    <w:p w:rsidR="00743205" w:rsidRPr="008354C2" w:rsidRDefault="00743205" w:rsidP="00743205">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1.1.1.3. Singapore</w:t>
      </w:r>
    </w:p>
    <w:p w:rsidR="007E6C1F" w:rsidRPr="008354C2" w:rsidRDefault="007E6C1F" w:rsidP="00743205">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Luật bảo hiểm Singapore (chương 142):</w:t>
      </w:r>
    </w:p>
    <w:p w:rsidR="007E6C1F" w:rsidRPr="008354C2" w:rsidRDefault="007E6C1F" w:rsidP="00743205">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Yêu cầu về vốn điều lệ</w:t>
      </w:r>
    </w:p>
    <w:p w:rsidR="007E6C1F" w:rsidRPr="008354C2" w:rsidRDefault="00BD340F" w:rsidP="00743205">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7E6C1F" w:rsidRPr="008354C2">
        <w:rPr>
          <w:rFonts w:ascii="Times New Roman" w:eastAsia="Arial" w:hAnsi="Times New Roman" w:cs="Times New Roman"/>
          <w:i/>
          <w:sz w:val="28"/>
          <w:szCs w:val="28"/>
        </w:rPr>
        <w:t>3. Cho mục đích đoạn 9 (1) của Luật, cơ quan quản lý không cho phép tổ chức nộp đơn được đăng ký là doanh nghiệp bảo hiểm hoặc tái bảo hiểm theo đoạn 8 của Luật trừ khi tổ chức nộp đơn có vốn điều lệ không thấp hơn:</w:t>
      </w:r>
    </w:p>
    <w:p w:rsidR="007E6C1F" w:rsidRPr="008354C2" w:rsidRDefault="007E6C1F" w:rsidP="00743205">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Trường hợp đề nghị cấp phép doanh nghiệp bảo hiểm trực tiếp khai thác một trong số các nghiệp vụ theo bảng 3 phụ lụ</w:t>
      </w:r>
      <w:r w:rsidR="00A852E3" w:rsidRPr="008354C2">
        <w:rPr>
          <w:rFonts w:ascii="Times New Roman" w:eastAsia="Arial" w:hAnsi="Times New Roman" w:cs="Times New Roman"/>
          <w:i/>
          <w:sz w:val="28"/>
          <w:szCs w:val="28"/>
        </w:rPr>
        <w:t>c VI</w:t>
      </w:r>
      <w:r w:rsidRPr="008354C2">
        <w:rPr>
          <w:rFonts w:ascii="Times New Roman" w:eastAsia="Arial" w:hAnsi="Times New Roman" w:cs="Times New Roman"/>
          <w:i/>
          <w:sz w:val="28"/>
          <w:szCs w:val="28"/>
        </w:rPr>
        <w:t>, 5 triệu đô la singapo</w:t>
      </w:r>
    </w:p>
    <w:p w:rsidR="007E6C1F" w:rsidRPr="008354C2" w:rsidRDefault="007E6C1F" w:rsidP="00743205">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trường hợp đề nghị cấp phép doanh nghiệp bảo hiểm trực tiếp khai thác khác với doanh nghiệp được đề cập ở tiểu đoạ</w:t>
      </w:r>
      <w:r w:rsidR="00A852E3" w:rsidRPr="008354C2">
        <w:rPr>
          <w:rFonts w:ascii="Times New Roman" w:eastAsia="Arial" w:hAnsi="Times New Roman" w:cs="Times New Roman"/>
          <w:i/>
          <w:sz w:val="28"/>
          <w:szCs w:val="28"/>
        </w:rPr>
        <w:t>n (a)</w:t>
      </w:r>
      <w:r w:rsidRPr="008354C2">
        <w:rPr>
          <w:rFonts w:ascii="Times New Roman" w:eastAsia="Arial" w:hAnsi="Times New Roman" w:cs="Times New Roman"/>
          <w:i/>
          <w:sz w:val="28"/>
          <w:szCs w:val="28"/>
        </w:rPr>
        <w:t>, 10 triệu đô la singapo</w:t>
      </w:r>
    </w:p>
    <w:p w:rsidR="007E6C1F" w:rsidRPr="008354C2" w:rsidRDefault="007E6C1F" w:rsidP="00743205">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(c) Trường hợp đề nghị cấp phép tái bảo hiểm, 25 triệu đô la Singapo.</w:t>
      </w:r>
      <w:r w:rsidR="00BD340F" w:rsidRPr="008354C2">
        <w:rPr>
          <w:rFonts w:ascii="Times New Roman" w:eastAsia="Arial" w:hAnsi="Times New Roman" w:cs="Times New Roman"/>
          <w:i/>
          <w:sz w:val="28"/>
          <w:szCs w:val="28"/>
        </w:rPr>
        <w:t>”</w:t>
      </w:r>
    </w:p>
    <w:p w:rsidR="007E6C1F" w:rsidRPr="008354C2" w:rsidRDefault="00076773" w:rsidP="00743205">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1.1.1.4. Đài Loan</w:t>
      </w:r>
    </w:p>
    <w:p w:rsidR="007E6C1F" w:rsidRPr="008354C2" w:rsidRDefault="007E6C1F" w:rsidP="004000E5">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sz w:val="28"/>
          <w:szCs w:val="28"/>
        </w:rPr>
        <w:t>Điều 139</w:t>
      </w:r>
      <w:r w:rsidR="00EA42AD" w:rsidRPr="008354C2">
        <w:rPr>
          <w:rFonts w:ascii="Times New Roman" w:eastAsia="Arial" w:hAnsi="Times New Roman" w:cs="Times New Roman"/>
          <w:sz w:val="28"/>
          <w:szCs w:val="28"/>
        </w:rPr>
        <w:t xml:space="preserve"> </w:t>
      </w:r>
      <w:r w:rsidR="00076773" w:rsidRPr="008354C2">
        <w:rPr>
          <w:rFonts w:ascii="Times New Roman" w:eastAsia="Arial" w:hAnsi="Times New Roman" w:cs="Times New Roman"/>
          <w:sz w:val="28"/>
          <w:szCs w:val="28"/>
        </w:rPr>
        <w:t xml:space="preserve">Luật bảo hiểm Đài Loan </w:t>
      </w:r>
      <w:r w:rsidRPr="008354C2">
        <w:rPr>
          <w:rFonts w:ascii="Times New Roman" w:eastAsia="Arial" w:hAnsi="Times New Roman" w:cs="Times New Roman"/>
          <w:sz w:val="28"/>
          <w:szCs w:val="28"/>
        </w:rPr>
        <w:tab/>
      </w:r>
      <w:r w:rsidRPr="008354C2">
        <w:rPr>
          <w:rFonts w:ascii="MS Gothic" w:eastAsia="MS Gothic" w:hAnsi="MS Gothic" w:cs="MS Gothic" w:hint="eastAsia"/>
          <w:sz w:val="28"/>
          <w:szCs w:val="28"/>
        </w:rPr>
        <w:t xml:space="preserve">　</w:t>
      </w:r>
      <w:r w:rsidR="00BD340F" w:rsidRPr="008354C2">
        <w:rPr>
          <w:rFonts w:ascii="MS Gothic" w:eastAsia="MS Gothic" w:hAnsi="MS Gothic" w:cs="MS Gothic"/>
          <w:sz w:val="28"/>
          <w:szCs w:val="28"/>
        </w:rPr>
        <w:t>“</w:t>
      </w:r>
      <w:r w:rsidRPr="008354C2">
        <w:rPr>
          <w:rFonts w:ascii="Times New Roman" w:eastAsia="Arial" w:hAnsi="Times New Roman" w:cs="Times New Roman"/>
          <w:i/>
          <w:sz w:val="28"/>
          <w:szCs w:val="28"/>
        </w:rPr>
        <w:t>Vốn hoặc quỹ tối thiểu cho từng loại hình doanh nghiệp bảo hiểm sẽ được chấp thuận riêng bởi Hành chính viện, theo sự khuyến nghị/ của cơ quan có thẩm quyền, khi xem xét điều kiện kinh tế ở từng địa phương và nhu cầu của từng loại hình kinh doanh bảo hiểm.</w:t>
      </w:r>
      <w:r w:rsidR="00BD340F" w:rsidRPr="008354C2">
        <w:rPr>
          <w:rFonts w:ascii="Times New Roman" w:eastAsia="Arial" w:hAnsi="Times New Roman" w:cs="Times New Roman"/>
          <w:i/>
          <w:sz w:val="28"/>
          <w:szCs w:val="28"/>
        </w:rPr>
        <w:t>”</w:t>
      </w:r>
    </w:p>
    <w:p w:rsidR="006E12F1" w:rsidRPr="008354C2" w:rsidRDefault="00076773" w:rsidP="004774EE">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1.1.2. Quy định về vốn trên cơ sở rủi ro</w:t>
      </w:r>
    </w:p>
    <w:p w:rsidR="00076773" w:rsidRPr="008354C2" w:rsidRDefault="00076773" w:rsidP="004774EE">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các nước cơ bản quy định nguyên tắc đối với việc xác định vốn trên cơ sở rủi ro. Cụ thể như sau:</w:t>
      </w:r>
    </w:p>
    <w:p w:rsidR="00076773" w:rsidRPr="008354C2" w:rsidRDefault="00076773" w:rsidP="004774EE">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 xml:space="preserve">1.1.2.1. </w:t>
      </w:r>
      <w:r w:rsidR="00CD04CC" w:rsidRPr="008354C2">
        <w:rPr>
          <w:rFonts w:ascii="Times New Roman" w:eastAsia="Arial" w:hAnsi="Times New Roman" w:cs="Times New Roman"/>
          <w:b/>
          <w:sz w:val="28"/>
          <w:szCs w:val="28"/>
        </w:rPr>
        <w:t>Nhật Bản</w:t>
      </w:r>
    </w:p>
    <w:p w:rsidR="00CD04CC" w:rsidRPr="008354C2" w:rsidRDefault="00CD04CC" w:rsidP="00CD04CC">
      <w:pPr>
        <w:spacing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Điều 130 Luật bảo hiểm của Nhật Bản quy định:</w:t>
      </w:r>
    </w:p>
    <w:p w:rsidR="00CD04CC" w:rsidRPr="008354C2" w:rsidRDefault="00BD340F" w:rsidP="00CD04CC">
      <w:pPr>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CD04CC" w:rsidRPr="008354C2">
        <w:rPr>
          <w:rFonts w:ascii="Times New Roman" w:eastAsia="Arial" w:hAnsi="Times New Roman" w:cs="Times New Roman"/>
          <w:i/>
          <w:sz w:val="28"/>
          <w:szCs w:val="28"/>
        </w:rPr>
        <w:t>Thủ tướng Chính phủ có thể sử dụng các khoản sau đối với Công ty bảo hiểm hoặc liên quan đến Công ty bảo hiểm và các Công ty con của Công ty bảo hiểm, v.v. và xác định xem Công ty bảo hiểm có mức khả năng thanh toán thích hợp hay không đối với khả năng chi trả các trách nhiệm bảo hiểm, v.v ... như là tiêu chuẩn để xác định tính toàn vẹn của hoạt động quản lý kinh doanh:</w:t>
      </w:r>
    </w:p>
    <w:p w:rsidR="00CD04CC" w:rsidRPr="008354C2" w:rsidRDefault="00CD04CC" w:rsidP="00CD04CC">
      <w:pPr>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 tổng số tiền của các hạng mục được quy định theo Lệnh của Văn phòng Nội các như vốn, các quỹ và các khoản dự phòng; và</w:t>
      </w:r>
    </w:p>
    <w:p w:rsidR="00CD04CC" w:rsidRPr="008354C2" w:rsidRDefault="00CD04CC" w:rsidP="00CD04CC">
      <w:pPr>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(ii) số tiền được tính toán theo các quy định của Lệnh của Văn phòng Nội các, như là số tiền để đối phó với những rủi ro có thể xảy ra vượt quá những dự đoán tiêu chuẩn có thể xảy ra do bất kỳ sự kiện nào liên quan đến nghiệp vụ bảo hiểm được giao kết, chẳng hạn như các sự kiện được bảo hiểm.</w:t>
      </w:r>
      <w:r w:rsidR="00BD340F" w:rsidRPr="008354C2">
        <w:rPr>
          <w:rFonts w:ascii="Times New Roman" w:eastAsia="Arial" w:hAnsi="Times New Roman" w:cs="Times New Roman"/>
          <w:i/>
          <w:sz w:val="28"/>
          <w:szCs w:val="28"/>
        </w:rPr>
        <w:t>”</w:t>
      </w:r>
    </w:p>
    <w:p w:rsidR="00CD04CC" w:rsidRPr="008354C2" w:rsidRDefault="00CD04CC" w:rsidP="00CD04CC">
      <w:pPr>
        <w:spacing w:after="120"/>
        <w:rPr>
          <w:rFonts w:ascii="Times New Roman" w:eastAsia="Arial" w:hAnsi="Times New Roman" w:cs="Times New Roman"/>
          <w:b/>
          <w:sz w:val="28"/>
          <w:szCs w:val="28"/>
        </w:rPr>
      </w:pPr>
      <w:r w:rsidRPr="008354C2">
        <w:rPr>
          <w:rFonts w:ascii="Times New Roman" w:eastAsia="Arial" w:hAnsi="Times New Roman" w:cs="Times New Roman"/>
          <w:b/>
          <w:sz w:val="28"/>
          <w:szCs w:val="28"/>
        </w:rPr>
        <w:t>1.1.2.2. Trung Quốc</w:t>
      </w:r>
    </w:p>
    <w:p w:rsidR="00CD04CC" w:rsidRPr="008354C2" w:rsidRDefault="00CD04CC" w:rsidP="00CD04CC">
      <w:pPr>
        <w:spacing w:after="120"/>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Điều 101 Luật kinh doanh bảo hiểm </w:t>
      </w:r>
    </w:p>
    <w:p w:rsidR="00CD04CC" w:rsidRPr="008354C2" w:rsidRDefault="00BD340F" w:rsidP="00CD04CC">
      <w:pPr>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CD04CC" w:rsidRPr="008354C2">
        <w:rPr>
          <w:rFonts w:ascii="Times New Roman" w:eastAsia="Arial" w:hAnsi="Times New Roman" w:cs="Times New Roman"/>
          <w:i/>
          <w:sz w:val="28"/>
          <w:szCs w:val="28"/>
        </w:rPr>
        <w:t>Công ty bảo hiểm phải có khả năng thanh toán tối thiểu phù hợp với quy mô kinh doanh và rủi ro của công ty. Phần chênh lệch giữa tài sản được miễn thuế và nợ được miễn thuế của công ty bảo hiểm không được nhỏ hơn số tiền theo quy định của cơ quan quản lý bảo hiểm thuộc Chính phủ; nếu không, công ty bảo hiểm, theo yêu cầu của cơ quan quản lý bảo hiểm thuộc Chính phủ, có biện pháp tương ứng để đạt được số tiền theo quy định.</w:t>
      </w:r>
      <w:r w:rsidRPr="008354C2">
        <w:rPr>
          <w:rFonts w:ascii="Times New Roman" w:eastAsia="Arial" w:hAnsi="Times New Roman" w:cs="Times New Roman"/>
          <w:i/>
          <w:sz w:val="28"/>
          <w:szCs w:val="28"/>
        </w:rPr>
        <w:t>”</w:t>
      </w:r>
    </w:p>
    <w:p w:rsidR="00CD04CC" w:rsidRPr="008354C2" w:rsidRDefault="00CD04CC" w:rsidP="00BD340F">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b/>
          <w:sz w:val="28"/>
          <w:szCs w:val="28"/>
        </w:rPr>
        <w:t>1.1.2.3. Singapore</w:t>
      </w:r>
      <w:r w:rsidRPr="008354C2">
        <w:rPr>
          <w:rFonts w:ascii="Times New Roman" w:eastAsia="Arial" w:hAnsi="Times New Roman" w:cs="Times New Roman"/>
          <w:b/>
          <w:sz w:val="28"/>
          <w:szCs w:val="28"/>
        </w:rPr>
        <w:tab/>
        <w:t>-</w:t>
      </w:r>
      <w:r w:rsidRPr="008354C2">
        <w:rPr>
          <w:rFonts w:ascii="Times New Roman" w:eastAsia="Arial" w:hAnsi="Times New Roman" w:cs="Times New Roman"/>
          <w:sz w:val="28"/>
          <w:szCs w:val="28"/>
        </w:rPr>
        <w:t>Luật bảo hiểm Singapore quy định về khả năng thanh toán quỹ và an toàn vốn như sau:</w:t>
      </w:r>
    </w:p>
    <w:p w:rsidR="00CD04CC" w:rsidRPr="008354C2" w:rsidRDefault="00BD340F" w:rsidP="00CD04CC">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EA42AD" w:rsidRPr="008354C2">
        <w:rPr>
          <w:rFonts w:ascii="Times New Roman" w:eastAsia="Arial" w:hAnsi="Times New Roman" w:cs="Times New Roman"/>
          <w:i/>
          <w:sz w:val="28"/>
          <w:szCs w:val="28"/>
        </w:rPr>
        <w:t xml:space="preserve">18 </w:t>
      </w:r>
      <w:r w:rsidR="00CD04CC" w:rsidRPr="008354C2">
        <w:rPr>
          <w:rFonts w:ascii="Times New Roman" w:eastAsia="Arial" w:hAnsi="Times New Roman" w:cs="Times New Roman"/>
          <w:i/>
          <w:sz w:val="28"/>
          <w:szCs w:val="28"/>
        </w:rPr>
        <w:t>(1) Mọi công ty bảo hiểm được cấp phép phải đáp ứ</w:t>
      </w:r>
      <w:r w:rsidR="00EA42AD" w:rsidRPr="008354C2">
        <w:rPr>
          <w:rFonts w:ascii="Times New Roman" w:eastAsia="Arial" w:hAnsi="Times New Roman" w:cs="Times New Roman"/>
          <w:i/>
          <w:sz w:val="28"/>
          <w:szCs w:val="28"/>
        </w:rPr>
        <w:t>ng:</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các yêu cầu về khả năng thanh toán quỹ đó đối với từng quỹ bảo hiểm do công ty bảo hiểm thành lập theo Đạo luật này; và</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các yêu cầu về an toàn vốn như  được quy định hoặc cụ thể hóa trong các hướng dẫn cho mục đích của phần này.</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(2) Cơ quan quản lý có thể quy định hoặc quy định chi tiế</w:t>
      </w:r>
      <w:r w:rsidR="00C06684" w:rsidRPr="008354C2">
        <w:rPr>
          <w:rFonts w:ascii="Times New Roman" w:eastAsia="Arial" w:hAnsi="Times New Roman" w:cs="Times New Roman"/>
          <w:i/>
          <w:sz w:val="28"/>
          <w:szCs w:val="28"/>
        </w:rPr>
        <w:t>t:</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các yêu cầu về khả năng thanh toán quỹ khác nhau hoặc các yêu cầu về an toàn vốn theo tiểu mục (1) đối với các loại hình kinh doanh bảo hiểm khác nhau và đối với các loại hình công ty bảo hiểm khác nhau; và</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đối với bất kỳ loại hình công ty bảo hiểm nào, bất kỳ ngoại lệ nào so với các yêu cầu của tiểu mục (1).</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(3) Không ảnh hưởng đến tính chung của mục 64, các quy định được đưa ra theo Đạo luật này, hoặc các hướng dẫn được đưa ra trong tiểu mục (1) hoặc (2), có thể</w:t>
      </w:r>
      <w:r w:rsidR="00C06684" w:rsidRPr="008354C2">
        <w:rPr>
          <w:rFonts w:ascii="Times New Roman" w:eastAsia="Arial" w:hAnsi="Times New Roman" w:cs="Times New Roman"/>
          <w:i/>
          <w:sz w:val="28"/>
          <w:szCs w:val="28"/>
        </w:rPr>
        <w:t>:</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quy định việc xác định giá trị của tài sản và trách nhiệm;</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với điều kiện rằng, đối với bất kỳ mục đích cụ thể nào, tài sản hoặc trách nhiệm/ nợ phải trả của bất kỳ loại hoặc mô tả cụ thể nào sẽ không được tính đến hoặc chỉ được tính đến ở một mức độ cụ thể; và</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(c) đưa ra các quy định khác nhau liên quan đến các trường hợp hoặc hoàn cảnh khác nhau.</w:t>
      </w:r>
    </w:p>
    <w:p w:rsidR="00CD04CC" w:rsidRPr="008354C2" w:rsidRDefault="00CD04CC" w:rsidP="00CD04CC">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(4) Cơ quan quản lý có thể thông báo bằng văn bản, nếu xét thấy phù hợp trong hoàn cảnh cụ thể của công ty bảo hiểm liên quan đến rủi ro phát sinh từ hoạt động của công ty bảo hiểm và các yếu tố khác mà Cơ quan quản lý cho là có liên quan, yêu cầu công ty bảo hiểm đáp ứng các yêu cầu về khả năng thanh toán quỹ hoặc các yêu cầu về an toàn vốn khác với các yêu cầu mà công ty bảo hiểm phải duy trì theo phần này.</w:t>
      </w:r>
    </w:p>
    <w:p w:rsidR="00CD04CC" w:rsidRPr="008354C2" w:rsidRDefault="00CD04CC" w:rsidP="00C06684">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(5) Không ảnh hưởng đến tính chung của mục 41, việc công ty bảo hiểm không tuân thủ tiểu mục (1) hoặc bất kỳ chỉ đạo nào của Cơ quan quản lý theo tiểu mục (4) sẽ là lý do đủ để Cơ quan quản lý cho rằng các vấn đề của công ty bảo hiểm đang được tiến hành theo cách có thể gây phương hại đến lợi ích công cộng hoặc lợi ích của các chủ hợp đồng và đưa ra các hướng dẫn như vậy theo mục 41 (1) khi Cơ quan quản lý cho là cần thiết.</w:t>
      </w:r>
      <w:r w:rsidR="00BD340F" w:rsidRPr="008354C2">
        <w:rPr>
          <w:rFonts w:ascii="Times New Roman" w:eastAsia="Arial" w:hAnsi="Times New Roman" w:cs="Times New Roman"/>
          <w:i/>
          <w:sz w:val="28"/>
          <w:szCs w:val="28"/>
        </w:rPr>
        <w:t>”</w:t>
      </w:r>
    </w:p>
    <w:p w:rsidR="00EA42AD" w:rsidRPr="008354C2" w:rsidRDefault="00C06684" w:rsidP="00C06684">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 xml:space="preserve">1.1.2.4. </w:t>
      </w:r>
      <w:r w:rsidR="00EA42AD" w:rsidRPr="008354C2">
        <w:rPr>
          <w:rFonts w:ascii="Times New Roman" w:eastAsia="Arial" w:hAnsi="Times New Roman" w:cs="Times New Roman"/>
          <w:b/>
          <w:sz w:val="28"/>
          <w:szCs w:val="28"/>
        </w:rPr>
        <w:t>Hàn Quốc</w:t>
      </w:r>
    </w:p>
    <w:p w:rsidR="00C06684" w:rsidRPr="008354C2" w:rsidRDefault="00CD04CC" w:rsidP="00C06684">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Luật bảo hiểm Hàn Quốc </w:t>
      </w:r>
      <w:r w:rsidR="00EA42AD" w:rsidRPr="008354C2">
        <w:rPr>
          <w:rFonts w:ascii="Times New Roman" w:eastAsia="Arial" w:hAnsi="Times New Roman" w:cs="Times New Roman"/>
          <w:sz w:val="28"/>
          <w:szCs w:val="28"/>
        </w:rPr>
        <w:t xml:space="preserve">quy định </w:t>
      </w:r>
      <w:r w:rsidRPr="008354C2">
        <w:rPr>
          <w:rFonts w:ascii="Times New Roman" w:eastAsia="Arial" w:hAnsi="Times New Roman" w:cs="Times New Roman"/>
          <w:sz w:val="28"/>
          <w:szCs w:val="28"/>
        </w:rPr>
        <w:t>về vốn trên cơ sở rủi ro như sau:</w:t>
      </w:r>
    </w:p>
    <w:p w:rsidR="00CD04CC" w:rsidRPr="008354C2" w:rsidRDefault="00CD04CC" w:rsidP="00C06684">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sz w:val="28"/>
          <w:szCs w:val="28"/>
        </w:rPr>
        <w:t>Điều 123 Duy trì lành mạnh tài chính</w:t>
      </w:r>
    </w:p>
    <w:p w:rsidR="00CD04CC" w:rsidRPr="008354C2" w:rsidRDefault="000152EE"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CD04CC" w:rsidRPr="008354C2">
        <w:rPr>
          <w:rFonts w:ascii="Times New Roman" w:eastAsia="Arial" w:hAnsi="Times New Roman" w:cs="Times New Roman"/>
          <w:i/>
          <w:sz w:val="28"/>
          <w:szCs w:val="28"/>
        </w:rPr>
        <w:t>(1) Để đảm bảo khả năng thanh toán và quản lý lành mạnh, Công ty bảo hiểm phải tuân thủ các tiêu chuẩn về lành mạnh tài chính được quy định tại Nghị định về các vấn đề</w:t>
      </w:r>
      <w:r w:rsidR="00EA42AD" w:rsidRPr="008354C2">
        <w:rPr>
          <w:rFonts w:ascii="Times New Roman" w:eastAsia="Arial" w:hAnsi="Times New Roman" w:cs="Times New Roman"/>
          <w:i/>
          <w:sz w:val="28"/>
          <w:szCs w:val="28"/>
        </w:rPr>
        <w:t xml:space="preserve"> sau đây:</w:t>
      </w:r>
    </w:p>
    <w:p w:rsidR="00CD04CC"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1. Những vấn đề liên quan đến sự phù hợp của vốn;</w:t>
      </w:r>
    </w:p>
    <w:p w:rsidR="00CD04CC"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2. Các vấn đề liên quan đến sự lành mạnh của tài sản;</w:t>
      </w:r>
    </w:p>
    <w:p w:rsidR="00CD04CC"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3. Các vấn đề khác cần thiết để đảm bảo sự lành mạnh trong công tác quản lý.</w:t>
      </w:r>
    </w:p>
    <w:p w:rsidR="00C06684"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(2) Trường hợp một công ty bảo hiểm được coi là có khả năng suy yếu sự lành mạnh quản lý do không tuân thủ các tiêu chuẩn được đề cậ</w:t>
      </w:r>
      <w:r w:rsidR="00EA42AD" w:rsidRPr="008354C2">
        <w:rPr>
          <w:rFonts w:ascii="Times New Roman" w:eastAsia="Arial" w:hAnsi="Times New Roman" w:cs="Times New Roman"/>
          <w:i/>
          <w:sz w:val="28"/>
          <w:szCs w:val="28"/>
        </w:rPr>
        <w:t>p tại khoản</w:t>
      </w:r>
      <w:r w:rsidRPr="008354C2">
        <w:rPr>
          <w:rFonts w:ascii="Times New Roman" w:eastAsia="Arial" w:hAnsi="Times New Roman" w:cs="Times New Roman"/>
          <w:i/>
          <w:sz w:val="28"/>
          <w:szCs w:val="28"/>
        </w:rPr>
        <w:t xml:space="preserve"> (1), Ủy ban Dịch vụ Tài chính có thể yêu cầu công ty bảo hiểm tăng vốn hoặc quỹ của mình, và thực hiện các biện pháp cần thiết như hạn chế nắm giữ cổ phiếu và tài sản rủi ro, v.v., theo quy định của Nghị định.</w:t>
      </w:r>
      <w:r w:rsidR="000152EE" w:rsidRPr="008354C2">
        <w:rPr>
          <w:rFonts w:ascii="Times New Roman" w:eastAsia="Arial" w:hAnsi="Times New Roman" w:cs="Times New Roman"/>
          <w:i/>
          <w:sz w:val="28"/>
          <w:szCs w:val="28"/>
        </w:rPr>
        <w:t>”</w:t>
      </w:r>
    </w:p>
    <w:p w:rsidR="00CD04CC" w:rsidRPr="008354C2" w:rsidRDefault="00C06684" w:rsidP="00C06684">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 xml:space="preserve">1.1.2.5. </w:t>
      </w:r>
      <w:r w:rsidR="00CD04CC" w:rsidRPr="008354C2">
        <w:rPr>
          <w:rFonts w:ascii="Times New Roman" w:eastAsia="Arial" w:hAnsi="Times New Roman" w:cs="Times New Roman"/>
          <w:b/>
          <w:sz w:val="28"/>
          <w:szCs w:val="28"/>
        </w:rPr>
        <w:t xml:space="preserve">Đài Loan </w:t>
      </w:r>
    </w:p>
    <w:p w:rsidR="00C06684" w:rsidRPr="008354C2" w:rsidRDefault="00CD04CC" w:rsidP="00C06684">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Điều 143-4</w:t>
      </w:r>
      <w:r w:rsidR="00EA42AD" w:rsidRPr="008354C2">
        <w:rPr>
          <w:rFonts w:ascii="Times New Roman" w:eastAsia="Arial" w:hAnsi="Times New Roman" w:cs="Times New Roman"/>
          <w:sz w:val="28"/>
          <w:szCs w:val="28"/>
        </w:rPr>
        <w:t xml:space="preserve"> </w:t>
      </w:r>
      <w:r w:rsidR="00C06684" w:rsidRPr="008354C2">
        <w:rPr>
          <w:rFonts w:ascii="Times New Roman" w:eastAsia="Arial" w:hAnsi="Times New Roman" w:cs="Times New Roman"/>
          <w:sz w:val="28"/>
          <w:szCs w:val="28"/>
        </w:rPr>
        <w:t xml:space="preserve">Luật bảo hiểm Đài Loan </w:t>
      </w:r>
      <w:r w:rsidRPr="008354C2">
        <w:rPr>
          <w:rFonts w:ascii="Times New Roman" w:eastAsia="Arial" w:hAnsi="Times New Roman" w:cs="Times New Roman"/>
          <w:sz w:val="28"/>
          <w:szCs w:val="28"/>
        </w:rPr>
        <w:tab/>
      </w:r>
    </w:p>
    <w:p w:rsidR="00CD04CC" w:rsidRPr="008354C2" w:rsidRDefault="00A45285"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CD04CC" w:rsidRPr="008354C2">
        <w:rPr>
          <w:rFonts w:ascii="Times New Roman" w:eastAsia="Arial" w:hAnsi="Times New Roman" w:cs="Times New Roman"/>
          <w:i/>
          <w:sz w:val="28"/>
          <w:szCs w:val="28"/>
        </w:rPr>
        <w:t>Tỷ lệ tổng vốn điều chỉnh của doanh nghiệp bảo hiểm đối với vốn dựa trên rủi ro (sau đây gọi là "tỷ lệ an toàn vốn") có thể không dưới 200%. Trường hợp cần thiết, cơ quan có thẩm quyền có thể điều chỉnh tỷ lệ theo tiêu chuẩn quốc tế.</w:t>
      </w:r>
    </w:p>
    <w:p w:rsidR="00C06684"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Tỷ lệ an toàn vốn được đề cập trong đoạn trên có thể được phân loạ</w:t>
      </w:r>
      <w:r w:rsidR="00C06684" w:rsidRPr="008354C2">
        <w:rPr>
          <w:rFonts w:ascii="Times New Roman" w:eastAsia="Arial" w:hAnsi="Times New Roman" w:cs="Times New Roman"/>
          <w:i/>
          <w:sz w:val="28"/>
          <w:szCs w:val="28"/>
        </w:rPr>
        <w:t>i như sau</w:t>
      </w:r>
    </w:p>
    <w:p w:rsidR="00CD04CC"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1. Vốn đầy đủ;</w:t>
      </w:r>
    </w:p>
    <w:p w:rsidR="00CD04CC"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2. Vốn thiếu;</w:t>
      </w:r>
    </w:p>
    <w:p w:rsidR="00CD04CC"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3. Vốn thiếu đáng kể;</w:t>
      </w:r>
    </w:p>
    <w:p w:rsidR="00CD04CC"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4. Vốn thiếu nghiêm trọng.</w:t>
      </w:r>
    </w:p>
    <w:p w:rsidR="00CD04CC" w:rsidRPr="008354C2" w:rsidRDefault="00CD04CC" w:rsidP="00C06684">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Vốn thích hợp được đề cập trong phụ đoạn 1 trước đó có nghĩa là tỷ lệ an toàn vốn đáp ứng được tỷ lệ tối thiểu quy định tại Khoản 1. Vốn không đầy đủ nghiêm trọng được đề cập trong phụ đoạn 4 trước đó có nghĩa là tỷ lệ an toàn vốn dưới 50 % hoặc giá trị thực của doanh nghiệp bảo hiểm nhỏ hơn 0. Đối với tổng số vốn điều chỉnh và vốn dựa trên rủi ro như đã nêu tại Khoản 1, cơ quan có thẩm quyền đặt các quy định về các vấn đề sau đây: phạm vi; phương pháp tính số tiền; quản lý; phân loại tỷ lệ an toàn vốn được đề cập trong các phụ đoạn 2 và 3 của Khoản 2; và các vấn đề tuân thủ khác.</w:t>
      </w:r>
      <w:r w:rsidR="00A45285" w:rsidRPr="008354C2">
        <w:rPr>
          <w:rFonts w:ascii="Times New Roman" w:eastAsia="Arial" w:hAnsi="Times New Roman" w:cs="Times New Roman"/>
          <w:i/>
          <w:sz w:val="28"/>
          <w:szCs w:val="28"/>
        </w:rPr>
        <w:t>”</w:t>
      </w:r>
    </w:p>
    <w:p w:rsidR="00CD04CC" w:rsidRPr="008354C2" w:rsidRDefault="00E51CDC" w:rsidP="004774EE">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1.2. Quy định về ký quỹ</w:t>
      </w:r>
    </w:p>
    <w:p w:rsidR="00E51CDC" w:rsidRPr="008354C2" w:rsidRDefault="00E51CDC" w:rsidP="00E51CDC">
      <w:pPr>
        <w:tabs>
          <w:tab w:val="center" w:pos="0"/>
        </w:tabs>
        <w:spacing w:after="120"/>
        <w:jc w:val="both"/>
        <w:rPr>
          <w:rFonts w:ascii="Times New Roman" w:eastAsia="Arial" w:hAnsi="Times New Roman" w:cs="Times New Roman"/>
          <w:sz w:val="28"/>
          <w:szCs w:val="28"/>
        </w:rPr>
      </w:pPr>
      <w:r w:rsidRPr="008354C2">
        <w:rPr>
          <w:rFonts w:ascii="Times New Roman" w:eastAsia="Arial" w:hAnsi="Times New Roman" w:cs="Times New Roman"/>
          <w:b/>
          <w:sz w:val="28"/>
          <w:szCs w:val="28"/>
        </w:rPr>
        <w:t xml:space="preserve">1.2.1. Trung Quốc: </w:t>
      </w:r>
      <w:r w:rsidRPr="008354C2">
        <w:rPr>
          <w:rFonts w:ascii="Times New Roman" w:eastAsia="Arial" w:hAnsi="Times New Roman" w:cs="Times New Roman"/>
          <w:sz w:val="28"/>
          <w:szCs w:val="28"/>
        </w:rPr>
        <w:t>Theo quy định tại Điều 97 Luật kinh doanh bảo hiểm Trung quốc:</w:t>
      </w:r>
    </w:p>
    <w:p w:rsidR="00E51CDC" w:rsidRPr="008354C2" w:rsidRDefault="00D26EF8" w:rsidP="003034AB">
      <w:pPr>
        <w:tabs>
          <w:tab w:val="center" w:pos="0"/>
        </w:tabs>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E51CDC" w:rsidRPr="008354C2">
        <w:rPr>
          <w:rFonts w:ascii="Times New Roman" w:eastAsia="Arial" w:hAnsi="Times New Roman" w:cs="Times New Roman"/>
          <w:i/>
          <w:sz w:val="28"/>
          <w:szCs w:val="28"/>
        </w:rPr>
        <w:t>Điều 97</w:t>
      </w:r>
      <w:r w:rsidR="00EA42AD" w:rsidRPr="008354C2">
        <w:rPr>
          <w:rFonts w:ascii="Times New Roman" w:eastAsia="Arial" w:hAnsi="Times New Roman" w:cs="Times New Roman"/>
          <w:i/>
          <w:sz w:val="28"/>
          <w:szCs w:val="28"/>
        </w:rPr>
        <w:t xml:space="preserve"> </w:t>
      </w:r>
      <w:r w:rsidR="00E51CDC" w:rsidRPr="008354C2">
        <w:rPr>
          <w:rFonts w:ascii="Times New Roman" w:eastAsia="Arial" w:hAnsi="Times New Roman" w:cs="Times New Roman"/>
          <w:i/>
          <w:sz w:val="28"/>
          <w:szCs w:val="28"/>
        </w:rPr>
        <w:t>Công ty bảo hiểm phải trích lập quỹ bảo lãnh bằng 20% tổng số vốn đăng ký, gửi vào ngân hàng do cơ quan quản lý bảo hiểm thuộc Chính phủ chỉ định và không sử dụng vào mục đích trả nợ tại thời điểm giải thể công ty.</w:t>
      </w:r>
      <w:r w:rsidRPr="008354C2">
        <w:rPr>
          <w:rFonts w:ascii="Times New Roman" w:eastAsia="Arial" w:hAnsi="Times New Roman" w:cs="Times New Roman"/>
          <w:i/>
          <w:sz w:val="28"/>
          <w:szCs w:val="28"/>
        </w:rPr>
        <w:t>”</w:t>
      </w:r>
      <w:r w:rsidR="00E51CDC" w:rsidRPr="008354C2">
        <w:rPr>
          <w:rFonts w:ascii="Times New Roman" w:eastAsia="Arial" w:hAnsi="Times New Roman" w:cs="Times New Roman"/>
          <w:i/>
          <w:sz w:val="28"/>
          <w:szCs w:val="28"/>
        </w:rPr>
        <w:t xml:space="preserve"> </w:t>
      </w:r>
    </w:p>
    <w:p w:rsidR="00E51CDC" w:rsidRPr="008354C2" w:rsidRDefault="003034AB" w:rsidP="004774EE">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1.3. Quy định về dự phòng nghiệp vụ</w:t>
      </w:r>
    </w:p>
    <w:p w:rsidR="00580AD8"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Các nước đều có quy định về việc trích lập dự phòng nghiệp vụ, trong đó có các yêu cầu nhất định đối với dự phòng nghiệp vụ như tài sản của quỹ dự phòng là thuộc về khách hàng (Nhật Bản), trích lập dự phòng theo nghiệp vụ (Đài Loan, Singapore), tách biệt với tài sản của chủ sở hữu (Singpaore) v.v… Cụ thể quy định một số nước như sau:</w:t>
      </w:r>
    </w:p>
    <w:p w:rsidR="00EA42AD" w:rsidRPr="008354C2" w:rsidRDefault="00EA42AD" w:rsidP="00580AD8">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1.3.1. Trung Quốc</w:t>
      </w:r>
    </w:p>
    <w:p w:rsidR="00580AD8"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tại Luật kinh doanh bảo hiểm Trung Quốc như sau:</w:t>
      </w:r>
    </w:p>
    <w:p w:rsidR="00433510"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Điều 98</w:t>
      </w:r>
      <w:r w:rsidR="009F03B3" w:rsidRPr="008354C2">
        <w:rPr>
          <w:rFonts w:ascii="Times New Roman" w:eastAsia="Arial" w:hAnsi="Times New Roman" w:cs="Times New Roman"/>
          <w:sz w:val="28"/>
          <w:szCs w:val="28"/>
        </w:rPr>
        <w:t xml:space="preserve">: </w:t>
      </w:r>
    </w:p>
    <w:p w:rsidR="00580AD8" w:rsidRPr="008354C2" w:rsidRDefault="00433510"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580AD8" w:rsidRPr="008354C2">
        <w:rPr>
          <w:rFonts w:ascii="Times New Roman" w:eastAsia="Arial" w:hAnsi="Times New Roman" w:cs="Times New Roman"/>
          <w:i/>
          <w:sz w:val="28"/>
          <w:szCs w:val="28"/>
        </w:rPr>
        <w:t xml:space="preserve">Công ty bảo hiểm phải trích lập các khoản dự phòng trách nhiệm khác nhau theo nguyên tắc bảo vệ quyền lợi của người được bảo hiểm và đảm bảo khả năng thanh toán. </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Các biện pháp cụ thể để công ty bảo hiểm lập và trích lập dự phòng trách nhiệm phải được lập bởi cơ quan quản lý bảo hiểm thuộc Chính phủ quy đị</w:t>
      </w:r>
      <w:r w:rsidR="00433510" w:rsidRPr="008354C2">
        <w:rPr>
          <w:rFonts w:ascii="Times New Roman" w:eastAsia="Arial" w:hAnsi="Times New Roman" w:cs="Times New Roman"/>
          <w:i/>
          <w:sz w:val="28"/>
          <w:szCs w:val="28"/>
        </w:rPr>
        <w:t>nh.”</w:t>
      </w:r>
    </w:p>
    <w:p w:rsidR="00580AD8"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Điều 99</w:t>
      </w:r>
      <w:r w:rsidR="009F03B3" w:rsidRPr="008354C2">
        <w:rPr>
          <w:rFonts w:ascii="Times New Roman" w:eastAsia="Arial" w:hAnsi="Times New Roman" w:cs="Times New Roman"/>
          <w:sz w:val="28"/>
          <w:szCs w:val="28"/>
        </w:rPr>
        <w:t xml:space="preserve">: </w:t>
      </w:r>
      <w:r w:rsidR="00433510" w:rsidRPr="008354C2">
        <w:rPr>
          <w:rFonts w:ascii="Times New Roman" w:eastAsia="Arial" w:hAnsi="Times New Roman" w:cs="Times New Roman"/>
          <w:i/>
          <w:sz w:val="28"/>
          <w:szCs w:val="28"/>
        </w:rPr>
        <w:t>“</w:t>
      </w:r>
      <w:r w:rsidRPr="008354C2">
        <w:rPr>
          <w:rFonts w:ascii="Times New Roman" w:eastAsia="Arial" w:hAnsi="Times New Roman" w:cs="Times New Roman"/>
          <w:i/>
          <w:sz w:val="28"/>
          <w:szCs w:val="28"/>
        </w:rPr>
        <w:t>Công ty bảo hiểm phải trích lập các quỹ dự phòng theo luật định.</w:t>
      </w:r>
      <w:r w:rsidR="00433510" w:rsidRPr="008354C2">
        <w:rPr>
          <w:rFonts w:ascii="Times New Roman" w:eastAsia="Arial" w:hAnsi="Times New Roman" w:cs="Times New Roman"/>
          <w:i/>
          <w:sz w:val="28"/>
          <w:szCs w:val="28"/>
        </w:rPr>
        <w:t>”</w:t>
      </w:r>
      <w:r w:rsidRPr="008354C2">
        <w:rPr>
          <w:rFonts w:ascii="Times New Roman" w:eastAsia="Arial" w:hAnsi="Times New Roman" w:cs="Times New Roman"/>
          <w:sz w:val="28"/>
          <w:szCs w:val="28"/>
        </w:rPr>
        <w:t xml:space="preserve"> </w:t>
      </w:r>
    </w:p>
    <w:p w:rsidR="009F03B3" w:rsidRPr="008354C2" w:rsidRDefault="009F03B3" w:rsidP="00580AD8">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1.3.2. Nhật Bản</w:t>
      </w:r>
    </w:p>
    <w:p w:rsidR="00580AD8"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tại Luật bảo hiểm Nhật Bả</w:t>
      </w:r>
      <w:r w:rsidR="00EB70D6" w:rsidRPr="008354C2">
        <w:rPr>
          <w:rFonts w:ascii="Times New Roman" w:eastAsia="Arial" w:hAnsi="Times New Roman" w:cs="Times New Roman"/>
          <w:sz w:val="28"/>
          <w:szCs w:val="28"/>
        </w:rPr>
        <w:t>n như sau:</w:t>
      </w:r>
    </w:p>
    <w:p w:rsidR="00580AD8" w:rsidRPr="008354C2" w:rsidRDefault="00433510"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w:t>
      </w:r>
      <w:r w:rsidR="00580AD8" w:rsidRPr="008354C2">
        <w:rPr>
          <w:rFonts w:ascii="Times New Roman" w:eastAsia="Arial" w:hAnsi="Times New Roman" w:cs="Times New Roman"/>
          <w:sz w:val="28"/>
          <w:szCs w:val="28"/>
        </w:rPr>
        <w:t>Dự phòng nghiệp vụ</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sz w:val="28"/>
          <w:szCs w:val="28"/>
        </w:rPr>
        <w:t>Điều 116 (1)</w:t>
      </w:r>
      <w:r w:rsidR="009F03B3" w:rsidRPr="008354C2">
        <w:rPr>
          <w:rFonts w:ascii="Times New Roman" w:eastAsia="Arial" w:hAnsi="Times New Roman" w:cs="Times New Roman"/>
          <w:sz w:val="28"/>
          <w:szCs w:val="28"/>
        </w:rPr>
        <w:t>:</w:t>
      </w:r>
      <w:r w:rsidRPr="008354C2">
        <w:rPr>
          <w:rFonts w:ascii="Times New Roman" w:eastAsia="Arial" w:hAnsi="Times New Roman" w:cs="Times New Roman"/>
          <w:sz w:val="28"/>
          <w:szCs w:val="28"/>
        </w:rPr>
        <w:t xml:space="preserve"> </w:t>
      </w:r>
      <w:r w:rsidR="00433510" w:rsidRPr="008354C2">
        <w:rPr>
          <w:rFonts w:ascii="Times New Roman" w:eastAsia="Arial" w:hAnsi="Times New Roman" w:cs="Times New Roman"/>
          <w:sz w:val="28"/>
          <w:szCs w:val="28"/>
        </w:rPr>
        <w:t>“</w:t>
      </w:r>
      <w:r w:rsidRPr="008354C2">
        <w:rPr>
          <w:rFonts w:ascii="Times New Roman" w:eastAsia="Arial" w:hAnsi="Times New Roman" w:cs="Times New Roman"/>
          <w:i/>
          <w:sz w:val="28"/>
          <w:szCs w:val="28"/>
        </w:rPr>
        <w:t>Trong từng kỳ kế toán, Công ty bảo hiểm phải lập riêng một khoản tiền như Dự phòng nghiệp vụ để chuẩn bị cho việc thực hiện các nghĩa vụ tương lai theo Hợp đồng bảo hiểm. Thủ tướng có thể đưa ra các yêu cầu cần thiết về phương thức lập quỹ Dự phòng nghiệp vụ theo Hợp đồng bảo hiểm dài hạn được quy định theo Pháp lệnh của Văn phòng Nội các, cũng như các mức hệ số sẽ tạo thành cơ sở tính toán giá trị của quỹ Dự phòng nghiệp vụ, ví dụ tỷ lệ tử vong dự kiến.</w:t>
      </w:r>
    </w:p>
    <w:p w:rsidR="00580AD8" w:rsidRPr="008354C2" w:rsidRDefault="00EB70D6"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(2) </w:t>
      </w:r>
      <w:r w:rsidR="00580AD8" w:rsidRPr="008354C2">
        <w:rPr>
          <w:rFonts w:ascii="Times New Roman" w:eastAsia="Arial" w:hAnsi="Times New Roman" w:cs="Times New Roman"/>
          <w:i/>
          <w:sz w:val="28"/>
          <w:szCs w:val="28"/>
        </w:rPr>
        <w:t>Ngoài những điều được quy định tại hai khoản trước, phương thức lập quỹ Dự phòng nghiệp vụ theo bất kỳ hợp đồng bảo hiểm được tái bảo hiểm và bất kỳ vấn đề yêu cầu lập quỹ dự phòng nghiệp vụ khác phải được quy định theo Pháp lệnh của Văn phòng Nội các.</w:t>
      </w:r>
      <w:r w:rsidR="00433510" w:rsidRPr="008354C2">
        <w:rPr>
          <w:rFonts w:ascii="Times New Roman" w:eastAsia="Arial" w:hAnsi="Times New Roman" w:cs="Times New Roman"/>
          <w:i/>
          <w:sz w:val="28"/>
          <w:szCs w:val="28"/>
        </w:rPr>
        <w:t>”</w:t>
      </w:r>
    </w:p>
    <w:p w:rsidR="00580AD8" w:rsidRPr="008354C2" w:rsidRDefault="00433510"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w:t>
      </w:r>
      <w:r w:rsidR="00580AD8" w:rsidRPr="008354C2">
        <w:rPr>
          <w:rFonts w:ascii="Times New Roman" w:eastAsia="Arial" w:hAnsi="Times New Roman" w:cs="Times New Roman"/>
          <w:sz w:val="28"/>
          <w:szCs w:val="28"/>
        </w:rPr>
        <w:t>Dự phòng cho yêu cầu bồi thường vượt mứ</w:t>
      </w:r>
      <w:r w:rsidRPr="008354C2">
        <w:rPr>
          <w:rFonts w:ascii="Times New Roman" w:eastAsia="Arial" w:hAnsi="Times New Roman" w:cs="Times New Roman"/>
          <w:sz w:val="28"/>
          <w:szCs w:val="28"/>
        </w:rPr>
        <w:t>c</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sz w:val="28"/>
          <w:szCs w:val="28"/>
        </w:rPr>
        <w:t>Điều 117 (1)</w:t>
      </w:r>
      <w:r w:rsidR="009F03B3" w:rsidRPr="008354C2">
        <w:rPr>
          <w:rFonts w:ascii="Times New Roman" w:eastAsia="Arial" w:hAnsi="Times New Roman" w:cs="Times New Roman"/>
          <w:sz w:val="28"/>
          <w:szCs w:val="28"/>
        </w:rPr>
        <w:t xml:space="preserve">: </w:t>
      </w:r>
      <w:r w:rsidR="00433510" w:rsidRPr="008354C2">
        <w:rPr>
          <w:rFonts w:ascii="Times New Roman" w:eastAsia="Arial" w:hAnsi="Times New Roman" w:cs="Times New Roman"/>
          <w:sz w:val="28"/>
          <w:szCs w:val="28"/>
        </w:rPr>
        <w:t>“</w:t>
      </w:r>
      <w:r w:rsidRPr="008354C2">
        <w:rPr>
          <w:rFonts w:ascii="Times New Roman" w:eastAsia="Arial" w:hAnsi="Times New Roman" w:cs="Times New Roman"/>
          <w:i/>
          <w:sz w:val="28"/>
          <w:szCs w:val="28"/>
        </w:rPr>
        <w:t>Đối với từng năm tài chính, Công ty bảo hiểm phải lập riêng một khoản tiền như là Dự phòng cho yêu cầu bồi thường vượt mức, trường hợp có bất kỳ thanh toán nào đáo hạn, như yêu cầu bồi thường hoặc bồi hoàn (sau đây được gọi là “yêu cầu bồi thường” tại khoản này), theo Hợp đồng bảo hiểm, hoặc bất kỳ thanh toán tương đương được quy định theo Pháp lệnh của Văn phòng Nội các mà không được ghi nhận là chi phí cho yêu cầu bồi thường</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(2) Một Pháp lệnh của Văn phòng Nội các phải nêu cụ thể các vấn đề để lập quỹ Dự phòng cho yêu cầu bồi thường vượt mức theo quy định tại khoản trước.</w:t>
      </w:r>
      <w:r w:rsidR="00433510" w:rsidRPr="008354C2">
        <w:rPr>
          <w:rFonts w:ascii="Times New Roman" w:eastAsia="Arial" w:hAnsi="Times New Roman" w:cs="Times New Roman"/>
          <w:i/>
          <w:sz w:val="28"/>
          <w:szCs w:val="28"/>
        </w:rPr>
        <w:t>”</w:t>
      </w:r>
    </w:p>
    <w:p w:rsidR="00580AD8" w:rsidRPr="008354C2" w:rsidRDefault="00433510"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w:t>
      </w:r>
      <w:r w:rsidR="00580AD8" w:rsidRPr="008354C2">
        <w:rPr>
          <w:rFonts w:ascii="Times New Roman" w:eastAsia="Arial" w:hAnsi="Times New Roman" w:cs="Times New Roman"/>
          <w:sz w:val="28"/>
          <w:szCs w:val="28"/>
        </w:rPr>
        <w:t>Quyền lưu trữ theo luật định đối với Chủ hợp đồng bảo hiểm tại Công ty bảo hiểm nhân thọ</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sz w:val="28"/>
          <w:szCs w:val="28"/>
        </w:rPr>
        <w:t>Điều 117-2 (1)</w:t>
      </w:r>
      <w:r w:rsidR="009F03B3" w:rsidRPr="008354C2">
        <w:rPr>
          <w:rFonts w:ascii="Times New Roman" w:eastAsia="Arial" w:hAnsi="Times New Roman" w:cs="Times New Roman"/>
          <w:sz w:val="28"/>
          <w:szCs w:val="28"/>
        </w:rPr>
        <w:t>:</w:t>
      </w:r>
      <w:r w:rsidRPr="008354C2">
        <w:rPr>
          <w:rFonts w:ascii="Times New Roman" w:eastAsia="Arial" w:hAnsi="Times New Roman" w:cs="Times New Roman"/>
          <w:sz w:val="28"/>
          <w:szCs w:val="28"/>
        </w:rPr>
        <w:t xml:space="preserve"> </w:t>
      </w:r>
      <w:r w:rsidR="00433510" w:rsidRPr="008354C2">
        <w:rPr>
          <w:rFonts w:ascii="Times New Roman" w:eastAsia="Arial" w:hAnsi="Times New Roman" w:cs="Times New Roman"/>
          <w:i/>
          <w:sz w:val="28"/>
          <w:szCs w:val="28"/>
        </w:rPr>
        <w:t>“</w:t>
      </w:r>
      <w:r w:rsidRPr="008354C2">
        <w:rPr>
          <w:rFonts w:ascii="Times New Roman" w:eastAsia="Arial" w:hAnsi="Times New Roman" w:cs="Times New Roman"/>
          <w:i/>
          <w:sz w:val="28"/>
          <w:szCs w:val="28"/>
        </w:rPr>
        <w:t>Tại Công ty bảo hiểm nhân thọ, Chủ hợp đồng bảo hiểm (không bao gồm các cổ đông của hợp đồng bảo hiểm được tái bảo hiểm) và những người có bất kỳ quyền nào sau đây (không bao gồm quyền tái bảo hiểm) sẽ được hưởng quyền lưu trữ theo luật định trên toàn bộ tài sản của Công ty bảo hiểm nhân thọ cho tổng giá trị khoản tiền đã thanh toán cho Công ty bảo hiểm và cho giá trị của quyền liên quan tương ứng:</w:t>
      </w:r>
    </w:p>
    <w:p w:rsidR="00580AD8" w:rsidRPr="008354C2" w:rsidRDefault="009F03B3"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(i) </w:t>
      </w:r>
      <w:r w:rsidR="00580AD8" w:rsidRPr="008354C2">
        <w:rPr>
          <w:rFonts w:ascii="Times New Roman" w:eastAsia="Arial" w:hAnsi="Times New Roman" w:cs="Times New Roman"/>
          <w:i/>
          <w:sz w:val="28"/>
          <w:szCs w:val="28"/>
        </w:rPr>
        <w:t>Yêu cầu bồi thường;</w:t>
      </w:r>
    </w:p>
    <w:p w:rsidR="00580AD8" w:rsidRPr="008354C2" w:rsidRDefault="009F03B3"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(ii) </w:t>
      </w:r>
      <w:r w:rsidR="00580AD8" w:rsidRPr="008354C2">
        <w:rPr>
          <w:rFonts w:ascii="Times New Roman" w:eastAsia="Arial" w:hAnsi="Times New Roman" w:cs="Times New Roman"/>
          <w:i/>
          <w:sz w:val="28"/>
          <w:szCs w:val="28"/>
        </w:rPr>
        <w:t>Quyền yêu cầu bồi thường tổn thất (mà không phải là quyền được liệt kê tại điểm trước); hoặc</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(iii</w:t>
      </w:r>
      <w:r w:rsidR="009F03B3" w:rsidRPr="008354C2">
        <w:rPr>
          <w:rFonts w:ascii="Times New Roman" w:eastAsia="Arial" w:hAnsi="Times New Roman" w:cs="Times New Roman"/>
          <w:i/>
          <w:sz w:val="28"/>
          <w:szCs w:val="28"/>
        </w:rPr>
        <w:t xml:space="preserve">) </w:t>
      </w:r>
      <w:r w:rsidRPr="008354C2">
        <w:rPr>
          <w:rFonts w:ascii="Times New Roman" w:eastAsia="Arial" w:hAnsi="Times New Roman" w:cs="Times New Roman"/>
          <w:i/>
          <w:sz w:val="28"/>
          <w:szCs w:val="28"/>
        </w:rPr>
        <w:t>Quyền yêu cầu thanh toán, chẳng hạn như bồi hoàn, cổ tức của cổ tức thặng dư hoặc cổ tức hợp đồng bảo hiểm (mà không phải là yêu cầu bồi thường bảo hiểm);</w:t>
      </w:r>
    </w:p>
    <w:p w:rsidR="00580AD8" w:rsidRPr="008354C2" w:rsidRDefault="009F03B3"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i/>
          <w:sz w:val="28"/>
          <w:szCs w:val="28"/>
        </w:rPr>
        <w:t xml:space="preserve">(2) </w:t>
      </w:r>
      <w:r w:rsidR="00580AD8" w:rsidRPr="008354C2">
        <w:rPr>
          <w:rFonts w:ascii="Times New Roman" w:eastAsia="Arial" w:hAnsi="Times New Roman" w:cs="Times New Roman"/>
          <w:i/>
          <w:sz w:val="28"/>
          <w:szCs w:val="28"/>
        </w:rPr>
        <w:t>Quyền lưu trữ tài sản theo luật định căn cứ quy định tại khoản trước phải được xếp mức độ ưu tiên kế tiếp khi tính toán Quyền lưu trữ tài sản theo luật định căn cứ quy định tại Điều 306, điểm (i) của Bộ luật dân sự (Quyền lưu trữ tài sản theo luật định đối với chi phí cho lợi ích chung).</w:t>
      </w:r>
      <w:r w:rsidR="00433510" w:rsidRPr="008354C2">
        <w:rPr>
          <w:rFonts w:ascii="Times New Roman" w:eastAsia="Arial" w:hAnsi="Times New Roman" w:cs="Times New Roman"/>
          <w:i/>
          <w:sz w:val="28"/>
          <w:szCs w:val="28"/>
        </w:rPr>
        <w:t>”</w:t>
      </w:r>
    </w:p>
    <w:p w:rsidR="009F03B3" w:rsidRPr="008354C2" w:rsidRDefault="009F03B3" w:rsidP="00580AD8">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 xml:space="preserve">1.3.3. Đài Loan </w:t>
      </w:r>
    </w:p>
    <w:p w:rsidR="00580AD8" w:rsidRPr="008354C2" w:rsidRDefault="009F03B3"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Theo quy định tại Luật Bảo hiểm Đài Loan</w:t>
      </w:r>
      <w:r w:rsidR="00580AD8" w:rsidRPr="008354C2">
        <w:rPr>
          <w:rFonts w:ascii="Times New Roman" w:eastAsia="Arial" w:hAnsi="Times New Roman" w:cs="Times New Roman"/>
          <w:sz w:val="28"/>
          <w:szCs w:val="28"/>
        </w:rPr>
        <w:t>:</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sz w:val="28"/>
          <w:szCs w:val="28"/>
        </w:rPr>
        <w:t xml:space="preserve">Điều 145: </w:t>
      </w:r>
      <w:r w:rsidR="00433510" w:rsidRPr="008354C2">
        <w:rPr>
          <w:rFonts w:ascii="Times New Roman" w:eastAsia="Arial" w:hAnsi="Times New Roman" w:cs="Times New Roman"/>
          <w:i/>
          <w:sz w:val="28"/>
          <w:szCs w:val="28"/>
        </w:rPr>
        <w:t>“</w:t>
      </w:r>
      <w:r w:rsidRPr="008354C2">
        <w:rPr>
          <w:rFonts w:ascii="Times New Roman" w:eastAsia="Arial" w:hAnsi="Times New Roman" w:cs="Times New Roman"/>
          <w:i/>
          <w:sz w:val="28"/>
          <w:szCs w:val="28"/>
        </w:rPr>
        <w:t>Vào cuối mỗi năm kinh doanh, doanh nghiệp bảo hiểm phải tính dự phòng cho từng loại bảo hiểm và ghi lại dự phòng đó vào sổ kế toán đặc biệt.</w:t>
      </w:r>
      <w:r w:rsidR="009F03B3" w:rsidRPr="008354C2">
        <w:rPr>
          <w:rFonts w:ascii="Times New Roman" w:eastAsia="Arial" w:hAnsi="Times New Roman" w:cs="Times New Roman"/>
          <w:i/>
          <w:sz w:val="28"/>
          <w:szCs w:val="28"/>
        </w:rPr>
        <w:t xml:space="preserve"> </w:t>
      </w:r>
      <w:r w:rsidRPr="008354C2">
        <w:rPr>
          <w:rFonts w:ascii="Times New Roman" w:eastAsia="Arial" w:hAnsi="Times New Roman" w:cs="Times New Roman"/>
          <w:i/>
          <w:sz w:val="28"/>
          <w:szCs w:val="28"/>
        </w:rPr>
        <w:t>Cơ quan có thẩm quyền đặt ra các quy định về việc bảo lưu các phương pháp dự trữ, tính toán và các vấn đề tuân thủ khác đối với các dự trữ khác nhau được đề cập trong đoạn trên.</w:t>
      </w:r>
      <w:r w:rsidR="00433510" w:rsidRPr="008354C2">
        <w:rPr>
          <w:rFonts w:ascii="Times New Roman" w:eastAsia="Arial" w:hAnsi="Times New Roman" w:cs="Times New Roman"/>
          <w:i/>
          <w:sz w:val="28"/>
          <w:szCs w:val="28"/>
        </w:rPr>
        <w:t>”</w:t>
      </w:r>
    </w:p>
    <w:p w:rsidR="009F03B3" w:rsidRPr="008354C2" w:rsidRDefault="009F03B3" w:rsidP="00580AD8">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 xml:space="preserve">1.3.4. Singapore </w:t>
      </w:r>
    </w:p>
    <w:p w:rsidR="00580AD8"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Quy định của Singapore tại Luật bảo hiểm (Chương 142) như sau:  </w:t>
      </w:r>
    </w:p>
    <w:p w:rsidR="00580AD8"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Lập quỹ bảo hiểm và phân bổ thặng dư</w:t>
      </w:r>
    </w:p>
    <w:p w:rsidR="00580AD8" w:rsidRPr="008354C2" w:rsidRDefault="004E1C1F"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580AD8" w:rsidRPr="008354C2">
        <w:rPr>
          <w:rFonts w:ascii="Times New Roman" w:eastAsia="Arial" w:hAnsi="Times New Roman" w:cs="Times New Roman"/>
          <w:i/>
          <w:sz w:val="28"/>
          <w:szCs w:val="28"/>
        </w:rPr>
        <w:t>17. (1) Mọi công ty bảo hiểm được cấp phép phải thành lập và duy trì một quỹ bảo hiể</w:t>
      </w:r>
      <w:r w:rsidR="009F03B3" w:rsidRPr="008354C2">
        <w:rPr>
          <w:rFonts w:ascii="Times New Roman" w:eastAsia="Arial" w:hAnsi="Times New Roman" w:cs="Times New Roman"/>
          <w:i/>
          <w:sz w:val="28"/>
          <w:szCs w:val="28"/>
        </w:rPr>
        <w:t>m riêng:</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đối với từng loại nghiệp vụ bảo hiểm do công ty bảo hiểm thực hiện có liên quan đến các hợp đồng bảo hiểm tại Singapore; và</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đối với từng loại nghiệp vụ bảo hiểm do công ty bảo hiểm thực hiện có liên quan đến các hợp đồng bảo hiểm nước ngoài.</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(1A) Mọi công ty bảo hiểm trực tiếp được cấp phép hoạt động kinh doanh nhân thọ phải thành lập và duy trì, ngoài các quỹ bảo hiểm theo tiểu mục (1) và tuân theo các điều kiện hoặc hạn chế Cơ quan quản lý có thể áp đặt, tách các quỹ bảo hiể</w:t>
      </w:r>
      <w:r w:rsidR="009F03B3" w:rsidRPr="008354C2">
        <w:rPr>
          <w:rFonts w:ascii="Times New Roman" w:eastAsia="Arial" w:hAnsi="Times New Roman" w:cs="Times New Roman"/>
          <w:i/>
          <w:sz w:val="28"/>
          <w:szCs w:val="28"/>
        </w:rPr>
        <w:t>m:</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đối với các hợp đồng bảo hiểm liên kết đầu tư; và</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đối với các hợp đồng không liên kết đầu tư.</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(2) Nếu, trong trường hợp doanh nghiệp bảo hiểm trực tiếp được phép kinh doanh nhân thọ, doanh nghiệp bảo hiểm không được phân bổ một phần thặng dư tài sản vượt trên các khoản nợ phải trả từ các hợp đồng không tham gia chia lãi bằng hình thức thưởng cho các hợp đồng tham gia chia lãi, Ngoài các quỹ được duy trì theo các tiểu mục (1) và (1A) thì doanh nghiệp bảo hiểm phải tuân theo các điều kiện hoặc hạn chế mà Cơ quan quản lý có thể áp đặt, DNBH phải thiết lập và duy trì, đối với các hợp đồng bảo hiểm liên kết đầu tư của mình, các quỹ bảo hiểm riêng biệ</w:t>
      </w:r>
      <w:r w:rsidR="009F03B3" w:rsidRPr="008354C2">
        <w:rPr>
          <w:rFonts w:ascii="Times New Roman" w:eastAsia="Arial" w:hAnsi="Times New Roman" w:cs="Times New Roman"/>
          <w:i/>
          <w:sz w:val="28"/>
          <w:szCs w:val="28"/>
        </w:rPr>
        <w:t>t:</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đối với các hợp đồng tham gia chia lãi; và</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đối với các hợp đồng bảo hiểm không tham gia chia lãi.</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(3) Cơ quan quản lý có thể yêu cầu bất kỳ doanh nghiệp bảo hiểm được cấp phép nào thành lập và duy trì, ngoài các quỹ bảo hiểm theo các tiểu mục (1), (1A) và (2), quỹ bảo hiểm khác mà Cơ quan quản lý có thể xác định cho các loại hợp đồng khác nhau đối với từng nghiệp vụ</w:t>
      </w:r>
      <w:r w:rsidR="009F03B3" w:rsidRPr="008354C2">
        <w:rPr>
          <w:rFonts w:ascii="Times New Roman" w:eastAsia="Arial" w:hAnsi="Times New Roman" w:cs="Times New Roman"/>
          <w:i/>
          <w:sz w:val="28"/>
          <w:szCs w:val="28"/>
        </w:rPr>
        <w:t xml:space="preserve"> </w:t>
      </w:r>
      <w:r w:rsidRPr="008354C2">
        <w:rPr>
          <w:rFonts w:ascii="Times New Roman" w:eastAsia="Arial" w:hAnsi="Times New Roman" w:cs="Times New Roman"/>
          <w:i/>
          <w:sz w:val="28"/>
          <w:szCs w:val="28"/>
        </w:rPr>
        <w:t>bảo hiểm.</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(4) Phí bảo hiểm và tất cả các khoản thu của quỹ phải được đưa vào quỹ bảo hiểm và phân bổ hợp lý cho hoạt động kinh doanh mà quỹ có liên quan (bao gồm cả thu nhập của quỹ) và các tài sản trong quỹ sẽ chỉ được áp dụng để đáp ứng phần khoản nợ và chi phí đã được phân bổ một cách hợp lý.</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(5) Đối với mục đích của tiểu mục (4), Cơ quan quản lý có thể quy định hoặc chỉ định theo hướng những gì cấu thành các khoản thu, thu nhập, nợ phải trả hoặc chi phí của công ty bảo hiểm được phân bổ hợp lý cho hoạt động kinh doanh mà quỹ bảo hiểm có liên quan và cách thức mỗi mục sẽ được xác định hoặc định giá.</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(6) Trong trường hợp quỹ bảo hiểm được duy trì bởi một công ty bảo hiểm trực tiếp được phép kinh doanh nhân thọ, bao gồm toàn bộ hoặc một phần các hợp đồ</w:t>
      </w:r>
      <w:r w:rsidR="009F03B3" w:rsidRPr="008354C2">
        <w:rPr>
          <w:rFonts w:ascii="Times New Roman" w:eastAsia="Arial" w:hAnsi="Times New Roman" w:cs="Times New Roman"/>
          <w:i/>
          <w:sz w:val="28"/>
          <w:szCs w:val="28"/>
        </w:rPr>
        <w:t>ng tham gia chia lãi:</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sẽ có một tài khoản thặng dư, được thiết lập và duy trì theo cách mà Cơ quan quản lý có thể quy định hoặc chỉ định theo hướng, như một phần của quỹ bảo hiểm;</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không một phần nào của quỹ sẽ được phân bổ theo hình thức thưởng cho các hợp đồng bảo hiểm tham gia chia lãi ngoại trừ</w:t>
      </w:r>
      <w:r w:rsidR="009F03B3" w:rsidRPr="008354C2">
        <w:rPr>
          <w:rFonts w:ascii="Times New Roman" w:eastAsia="Arial" w:hAnsi="Times New Roman" w:cs="Times New Roman"/>
          <w:i/>
          <w:sz w:val="28"/>
          <w:szCs w:val="28"/>
        </w:rPr>
        <w:t>:</w:t>
      </w:r>
    </w:p>
    <w:p w:rsidR="00580AD8" w:rsidRPr="008354C2" w:rsidRDefault="00580AD8" w:rsidP="009F03B3">
      <w:pPr>
        <w:spacing w:before="120" w:after="120"/>
        <w:ind w:firstLine="108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 với sự chấp thuận của giám đốc công ty bảo hiểm, sau khi xem xét đề nghị bằng văn bản từ chuyên gia tính toán được chỉ định theo mục 31; và</w:t>
      </w:r>
    </w:p>
    <w:p w:rsidR="00580AD8" w:rsidRPr="008354C2" w:rsidRDefault="00580AD8" w:rsidP="009F03B3">
      <w:pPr>
        <w:spacing w:before="120" w:after="120"/>
        <w:ind w:firstLine="108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(ii) khi việc phân bổ như vậy không trái với bất kỳ điều kiện hoặc hạn chế nào có thể được quy định hoặc chỉ định theo hướng cho các mục đích của phần này;</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(c) không một phần nào của quỹ sẽ được phân bổ vào tài khoản thặng dư ngoại trừ</w:t>
      </w:r>
      <w:r w:rsidR="009F03B3" w:rsidRPr="008354C2">
        <w:rPr>
          <w:rFonts w:ascii="Times New Roman" w:eastAsia="Arial" w:hAnsi="Times New Roman" w:cs="Times New Roman"/>
          <w:i/>
          <w:sz w:val="28"/>
          <w:szCs w:val="28"/>
        </w:rPr>
        <w:t>:</w:t>
      </w:r>
    </w:p>
    <w:p w:rsidR="00580AD8" w:rsidRPr="008354C2" w:rsidRDefault="00580AD8" w:rsidP="009F03B3">
      <w:pPr>
        <w:spacing w:before="120" w:after="120"/>
        <w:ind w:firstLine="108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 với sự chấp thuận của giám đốc công ty bảo hiểm, sau khi xem xét đề nghị bằng văn bản từ chuyên gia tính toán được chỉ định theo mục 31;</w:t>
      </w:r>
    </w:p>
    <w:p w:rsidR="00580AD8" w:rsidRPr="008354C2" w:rsidRDefault="00580AD8" w:rsidP="009F03B3">
      <w:pPr>
        <w:spacing w:before="120" w:after="120"/>
        <w:ind w:firstLine="108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(ii) khi việc phân bổ như vậy không trái với yêu cầu về khả năng thanh toán của quỹ theo mục 18;</w:t>
      </w:r>
    </w:p>
    <w:p w:rsidR="00580AD8" w:rsidRPr="008354C2" w:rsidRDefault="00580AD8" w:rsidP="009F03B3">
      <w:pPr>
        <w:spacing w:before="120" w:after="120"/>
        <w:ind w:firstLine="108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(iii) khi việc phân bổ đó không trái với bất kỳ điều kiện hoặc hạn chế nào có thể được quy định hoặc chỉ định trong các hướng cho các mục đích của phần này; và</w:t>
      </w:r>
    </w:p>
    <w:p w:rsidR="00580AD8" w:rsidRPr="008354C2" w:rsidRDefault="00580AD8" w:rsidP="009F03B3">
      <w:pPr>
        <w:spacing w:before="120" w:after="120"/>
        <w:ind w:firstLine="108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(iv) trong đó số tiền không vượt quá 1/9 số tiền được phân bổ theo đoạn (b) cho một kỳ kế toán cụ thể.</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(7) Bất chấp tiểu mục (6) (c), công ty bảo hiểm có thể phân bổ bổ sung vào tài khoản thặng dư của quỹ bảo hiểm bao gồm toàn bộ hoặc một phần các hợp đồng tham gia chia lãi với số tiền và theo cách thức được Cơ quan quản lý quy định hoặc chỉ định. </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(8) Trường hợp số tiền được phân bổ cho tài khoản thặng dư trong một kỳ kế toán cụ thể theo tiểu mục (6) (c) nhỏ hơn 1/9 số tiền được phân bổ theo tiểu mục (6) (b) cho kỳ kế toán đó, công ty bảo hiểm sẽ không phân bổ phần chênh lệch giữa số tiền thực tế đã phân bổ và số tiền 1/9 được phép vào tài khoản thặng dư trong bất kỳ kỳ kế toán nào tiếp theo.</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(9) Công ty bảo hiểm có thể, khi có thặng dư tài sản so với nợ phải trả của quỹ bảo hiểm, bất kỳ lúc nào cũng có thể rút khỏi quỹ một số tiền không vượt quá mức thặng dư so với bất kỳ yêu cầu nào về khả năng thanh toán của quỹ được quy định cho quỹ đó theo mục 18 nếu và chỉ khi -</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(a) không có điều khoản nào trong bất kỳ văn bản hoặc hợp đồng nào ràng buộc công ty bảo hiểm không cho phép rút tiền như vậy; và</w:t>
      </w:r>
    </w:p>
    <w:p w:rsidR="00580AD8" w:rsidRPr="008354C2" w:rsidRDefault="00580AD8" w:rsidP="009F03B3">
      <w:pPr>
        <w:spacing w:before="120" w:after="120"/>
        <w:ind w:firstLine="7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(b) công ty bảo hiểm xác nhận từ bản sao kê tài khoản gần nhất nộp cho Cơ quan có thẩm quyền theo mục 36 hoặc bản sao kê tài khoản đã được kiểm toán sau đó cung cấp cho Cơ quan rằng trên thực tế có một khoản thặng dư như vậy tại thời điểm thu hồi.</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(10) Khi thực hiện bất kỳ khoản rút tiền nào theo tiểu mục (9), thặng dư của quỹ, cho các mục đích của phần này, sẽ được coi là giảm bớt số tiền rút ra.</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(11) Bất kỳ số tiền nào được rút từ quỹ bảo hiểm theo tiểu mục (9) và, khi kết thúc, bất kỳ phần nào của quỹ bảo hiểm còn lại sau khi đáp ứng các trách nhiệm và chi phí mà quỹ áp dụng có thể được xử lý không là một phần của quỹ ngoại trừ trường hợp trích lập mà bất kỳ quỹ bảo hiểm nào khác của công ty bảo hiểm theo Đạo luật này bị thâm hụt, phần thặng dư còn lại sau khi kết thúc trước tiên sẽ được áp dụng để bù đắp khoản thâm hụt trong quỹ đó.</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(12) Bất kỳ quỹ bảo hiểm nào do doanh nghiệp bảo hiểm thành lập cho bất kỳ loại hình kinh doanh bảo hiểm nào, mặc dù doanh nghiệp bảo hiểm ngừng tiếp tục hoạt động kinh doanh đó tại Singapore vào bất kỳ thời điểm nào, vẫn được doanh nghiệp bảo hiểm duy trì miễn là doanh nghiệp bảo hiểm được yêu cầu theo Đạo luật này để duy trì sổ đăng ký hợp đồng bảo hiểm thuộc nhóm đó.</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(13) Tài sản của bất kỳ quỹ bảo hiểm nào do công ty bảo hiểm thành lập theo Đạo luật này sẽ được tách biệt với tất cả các tài sản khác của công ty bảo hiểm.</w:t>
      </w:r>
      <w:r w:rsidR="004E1C1F" w:rsidRPr="008354C2">
        <w:rPr>
          <w:rFonts w:ascii="Times New Roman" w:eastAsia="Arial" w:hAnsi="Times New Roman" w:cs="Times New Roman"/>
          <w:i/>
          <w:sz w:val="28"/>
          <w:szCs w:val="28"/>
        </w:rPr>
        <w:t>”</w:t>
      </w:r>
    </w:p>
    <w:p w:rsidR="009F03B3" w:rsidRPr="008354C2" w:rsidRDefault="009F03B3" w:rsidP="00580AD8">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1.3.5. Hàn Quốc</w:t>
      </w:r>
    </w:p>
    <w:p w:rsidR="00580AD8"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về dự phòng tại Luật bảo hiểm Hàn Quốc như sau:</w:t>
      </w:r>
    </w:p>
    <w:p w:rsidR="00580AD8" w:rsidRPr="008354C2" w:rsidRDefault="00580AD8" w:rsidP="00580A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Điều 120 (Tích lũy dự phòng trách nhiệm, v.v.)</w:t>
      </w:r>
    </w:p>
    <w:p w:rsidR="00580AD8" w:rsidRPr="008354C2" w:rsidRDefault="00B4540F"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w:t>
      </w:r>
      <w:r w:rsidR="00580AD8" w:rsidRPr="008354C2">
        <w:rPr>
          <w:rFonts w:ascii="Times New Roman" w:eastAsia="Arial" w:hAnsi="Times New Roman" w:cs="Times New Roman"/>
          <w:i/>
          <w:sz w:val="28"/>
          <w:szCs w:val="28"/>
        </w:rPr>
        <w:t>(1) Công ty bảo hiểm phải trích lập dự phòng trách nhiệm phù hợp và dự phòng rủi ro khẩn cấp theo quy định của Nghị định, theo loại hợp đồng bảo hiểm tại mỗi kỳ hạn cho việc ghi nhận tài khoản và sau đó nhập sổ kế toán riêng.</w:t>
      </w:r>
    </w:p>
    <w:p w:rsidR="00580AD8"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(2) Các vấn đề cần thiết liên quan đến dự phòng trách nhiệm và dự phòng rủi ro khẩn cấp theo </w:t>
      </w:r>
      <w:r w:rsidR="004E6C15" w:rsidRPr="008354C2">
        <w:rPr>
          <w:rFonts w:ascii="Times New Roman" w:eastAsia="Arial" w:hAnsi="Times New Roman" w:cs="Times New Roman"/>
          <w:i/>
          <w:sz w:val="28"/>
          <w:szCs w:val="28"/>
        </w:rPr>
        <w:t>khoản</w:t>
      </w:r>
      <w:r w:rsidRPr="008354C2">
        <w:rPr>
          <w:rFonts w:ascii="Times New Roman" w:eastAsia="Arial" w:hAnsi="Times New Roman" w:cs="Times New Roman"/>
          <w:i/>
          <w:sz w:val="28"/>
          <w:szCs w:val="28"/>
        </w:rPr>
        <w:t xml:space="preserve"> (1) sẽ được quy định bởi Pháp lệnh của Thủ tướng.</w:t>
      </w:r>
    </w:p>
    <w:p w:rsidR="003034AB" w:rsidRPr="008354C2" w:rsidRDefault="00580AD8" w:rsidP="00580AD8">
      <w:pPr>
        <w:spacing w:before="120"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(3) Trường hợp cần thiết phải phù hợp với dự phòng trách nhiệm và dự phòng rủi ro khẩn cấp theo </w:t>
      </w:r>
      <w:r w:rsidR="009F03B3" w:rsidRPr="008354C2">
        <w:rPr>
          <w:rFonts w:ascii="Times New Roman" w:eastAsia="Arial" w:hAnsi="Times New Roman" w:cs="Times New Roman"/>
          <w:i/>
          <w:sz w:val="28"/>
          <w:szCs w:val="28"/>
        </w:rPr>
        <w:t>khoản</w:t>
      </w:r>
      <w:r w:rsidRPr="008354C2">
        <w:rPr>
          <w:rFonts w:ascii="Times New Roman" w:eastAsia="Arial" w:hAnsi="Times New Roman" w:cs="Times New Roman"/>
          <w:i/>
          <w:sz w:val="28"/>
          <w:szCs w:val="28"/>
        </w:rPr>
        <w:t xml:space="preserve"> (1), Ủy ban Dịch vụ tài chính có thể thiết lập chuẩn mực kế toán cho tài sản và chi phí của các công ty bảo hiểm, và các vấn đề theo quy định của Nghị định.</w:t>
      </w:r>
      <w:r w:rsidR="00B4540F" w:rsidRPr="008354C2">
        <w:rPr>
          <w:rFonts w:ascii="Times New Roman" w:eastAsia="Arial" w:hAnsi="Times New Roman" w:cs="Times New Roman"/>
          <w:i/>
          <w:sz w:val="28"/>
          <w:szCs w:val="28"/>
        </w:rPr>
        <w:t>”</w:t>
      </w:r>
    </w:p>
    <w:p w:rsidR="006E5F55" w:rsidRPr="008354C2" w:rsidRDefault="006E5F55" w:rsidP="00580AD8">
      <w:pPr>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1.4. Quy định về quỹ dự trữ</w:t>
      </w:r>
    </w:p>
    <w:p w:rsidR="007F75F8" w:rsidRPr="008354C2" w:rsidRDefault="007F75F8" w:rsidP="007F75F8">
      <w:pPr>
        <w:tabs>
          <w:tab w:val="center" w:pos="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Quy định </w:t>
      </w:r>
      <w:r w:rsidRPr="008354C2">
        <w:rPr>
          <w:rFonts w:ascii="Times New Roman" w:hAnsi="Times New Roman" w:cs="Times New Roman"/>
          <w:sz w:val="28"/>
          <w:szCs w:val="28"/>
        </w:rPr>
        <w:t xml:space="preserve">về </w:t>
      </w:r>
      <w:r w:rsidRPr="008354C2">
        <w:rPr>
          <w:rFonts w:ascii="Times New Roman" w:hAnsi="Times New Roman" w:cs="Times New Roman"/>
          <w:sz w:val="28"/>
          <w:szCs w:val="28"/>
          <w:lang w:val="vi-VN"/>
        </w:rPr>
        <w:t>quỹ dự trữ</w:t>
      </w:r>
      <w:r w:rsidRPr="008354C2">
        <w:rPr>
          <w:rFonts w:ascii="Times New Roman" w:hAnsi="Times New Roman" w:cs="Times New Roman"/>
          <w:sz w:val="28"/>
          <w:szCs w:val="28"/>
        </w:rPr>
        <w:t xml:space="preserve"> được ban hành </w:t>
      </w:r>
      <w:r w:rsidRPr="008354C2">
        <w:rPr>
          <w:rFonts w:ascii="Times New Roman" w:hAnsi="Times New Roman" w:cs="Times New Roman"/>
          <w:sz w:val="28"/>
          <w:szCs w:val="28"/>
          <w:lang w:val="vi-VN"/>
        </w:rPr>
        <w:t>nhằm đảm bảo khả năng chi trả hoặc bổ sung vốn</w:t>
      </w:r>
      <w:r w:rsidRPr="008354C2">
        <w:rPr>
          <w:rFonts w:ascii="Times New Roman" w:hAnsi="Times New Roman" w:cs="Times New Roman"/>
          <w:sz w:val="28"/>
          <w:szCs w:val="28"/>
        </w:rPr>
        <w:t xml:space="preserve"> của DNBH</w:t>
      </w:r>
      <w:r w:rsidRPr="008354C2">
        <w:rPr>
          <w:rFonts w:ascii="Times New Roman" w:hAnsi="Times New Roman" w:cs="Times New Roman"/>
          <w:sz w:val="28"/>
          <w:szCs w:val="28"/>
          <w:lang w:val="vi-VN"/>
        </w:rPr>
        <w:t>. Quy định cụ thể như sau:</w:t>
      </w:r>
    </w:p>
    <w:p w:rsidR="007F75F8" w:rsidRPr="008354C2" w:rsidRDefault="007F75F8" w:rsidP="007F75F8">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1.4.1. Đài Loan</w:t>
      </w:r>
    </w:p>
    <w:p w:rsidR="007F75F8" w:rsidRPr="008354C2" w:rsidRDefault="007F75F8" w:rsidP="00E94317">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sz w:val="28"/>
          <w:szCs w:val="28"/>
          <w:lang w:val="vi-VN"/>
        </w:rPr>
        <w:t xml:space="preserve">Điều 145-1 Luật bảo hiểm Đài Loan: </w:t>
      </w:r>
      <w:r w:rsidR="00FE4E0A" w:rsidRPr="008354C2">
        <w:rPr>
          <w:rFonts w:ascii="Times New Roman" w:hAnsi="Times New Roman" w:cs="Times New Roman"/>
          <w:sz w:val="28"/>
          <w:szCs w:val="28"/>
          <w:lang w:val="vi-VN"/>
        </w:rPr>
        <w:t>“</w:t>
      </w:r>
      <w:r w:rsidRPr="008354C2">
        <w:rPr>
          <w:rFonts w:ascii="Times New Roman" w:hAnsi="Times New Roman" w:cs="Times New Roman"/>
          <w:i/>
          <w:sz w:val="28"/>
          <w:szCs w:val="28"/>
          <w:lang w:val="vi-VN"/>
        </w:rPr>
        <w:t>Sau khi thanh toán tất cả các khoản thuế, doanh nghiệp bảo hiểm trích 20% vào quỹ dự trữ vốn pháp định, sau đó tiến hành chi trả thu nhập trong công ty; Với điều kiện là yêu cầu này không áp dụng khi dự trữ vốn pháp định đã bằng vốn được ủy quyền của doanh nghiệp.</w:t>
      </w:r>
    </w:p>
    <w:p w:rsidR="007F75F8" w:rsidRPr="008354C2" w:rsidRDefault="007F75F8" w:rsidP="00E94317">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Một doanh nghiệp bảo hiểm có thể trích lập dự phòng bổ sung vốn đặc biệt theo quy định tại Điều lệ thành lập hoặc Nghị quyết của Đại hội đồng cổ đông hoặc Đại hội thành viên hợp tác xã. Cơ quan có thẩm quyền có thể yêu cầu doanh nghiệp bảo hiểm yêu cầu trích lập dự phòng đó.</w:t>
      </w:r>
    </w:p>
    <w:p w:rsidR="007F75F8" w:rsidRPr="008354C2" w:rsidRDefault="007F75F8" w:rsidP="00E94317">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Các điều khoản của khoản 1 sẽ có hiệu lực từ năm tài chính tiếp theo sau khi các điều khoản của Luật này được sửa đổi vào ngày [ghi ngày] có hiệu lực.</w:t>
      </w:r>
      <w:r w:rsidR="00FE4E0A" w:rsidRPr="008354C2">
        <w:rPr>
          <w:rFonts w:ascii="Times New Roman" w:hAnsi="Times New Roman" w:cs="Times New Roman"/>
          <w:i/>
          <w:sz w:val="28"/>
          <w:szCs w:val="28"/>
          <w:lang w:val="vi-VN"/>
        </w:rPr>
        <w:t>”</w:t>
      </w:r>
    </w:p>
    <w:p w:rsidR="00E94317" w:rsidRPr="008354C2" w:rsidRDefault="00E94317" w:rsidP="00E94317">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1.5. Quy định về đầu tư</w:t>
      </w:r>
    </w:p>
    <w:p w:rsidR="00E94317" w:rsidRPr="008354C2" w:rsidRDefault="00E94317" w:rsidP="00E94317">
      <w:pPr>
        <w:tabs>
          <w:tab w:val="center" w:pos="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Quy định đầu tư tại các nước khác nhau. Một số nước không quy định cụ thể về danh mục đầu tư như Singapore, Malaysia, Nhật Bản; có nước quy định danh mục hạn mức đầu tư và cấm như Trung Quốc, Hàn Quốc, Đài Loan; </w:t>
      </w:r>
      <w:r w:rsidR="0063121A" w:rsidRPr="008354C2">
        <w:rPr>
          <w:rFonts w:ascii="Times New Roman" w:hAnsi="Times New Roman" w:cs="Times New Roman"/>
          <w:sz w:val="28"/>
          <w:szCs w:val="28"/>
          <w:lang w:val="vi-VN"/>
        </w:rPr>
        <w:t xml:space="preserve">có nước </w:t>
      </w:r>
      <w:r w:rsidRPr="008354C2">
        <w:rPr>
          <w:rFonts w:ascii="Times New Roman" w:hAnsi="Times New Roman" w:cs="Times New Roman"/>
          <w:sz w:val="28"/>
          <w:szCs w:val="28"/>
          <w:lang w:val="vi-VN"/>
        </w:rPr>
        <w:t>quy định về đầu tư nước ngoài (Đài Loan), quy định về giới hạn đầu tư tại nước ngoài (Singapore). Cụ thể như sau:</w:t>
      </w:r>
    </w:p>
    <w:p w:rsidR="00E94317" w:rsidRPr="008354C2" w:rsidRDefault="00E94317" w:rsidP="00E94317">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 xml:space="preserve">1.5.1. </w:t>
      </w:r>
      <w:r w:rsidR="0063121A" w:rsidRPr="008354C2">
        <w:rPr>
          <w:rFonts w:ascii="Times New Roman" w:hAnsi="Times New Roman" w:cs="Times New Roman"/>
          <w:b/>
          <w:sz w:val="28"/>
          <w:szCs w:val="28"/>
          <w:lang w:val="vi-VN"/>
        </w:rPr>
        <w:t>Singapore</w:t>
      </w:r>
    </w:p>
    <w:p w:rsidR="0063121A" w:rsidRPr="008354C2" w:rsidRDefault="0063121A" w:rsidP="00E94317">
      <w:pPr>
        <w:tabs>
          <w:tab w:val="center" w:pos="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Quy định tại Luật Bảo hiểm như sau:</w:t>
      </w:r>
    </w:p>
    <w:p w:rsidR="0063121A" w:rsidRPr="008354C2" w:rsidRDefault="00274C39" w:rsidP="0063121A">
      <w:pPr>
        <w:tabs>
          <w:tab w:val="left" w:pos="72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63121A" w:rsidRPr="008354C2">
        <w:rPr>
          <w:rFonts w:ascii="Times New Roman" w:hAnsi="Times New Roman" w:cs="Times New Roman"/>
          <w:sz w:val="28"/>
          <w:szCs w:val="28"/>
          <w:lang w:val="vi-VN"/>
        </w:rPr>
        <w:t>Về Hình thức, đầu tư và tình hình tài sản:</w:t>
      </w:r>
    </w:p>
    <w:p w:rsidR="0063121A" w:rsidRPr="008354C2" w:rsidRDefault="0063121A" w:rsidP="0063121A">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sz w:val="28"/>
          <w:szCs w:val="28"/>
          <w:lang w:val="vi-VN"/>
        </w:rPr>
        <w:t>Điều 19</w:t>
      </w:r>
      <w:r w:rsidR="00243F3E" w:rsidRPr="008354C2">
        <w:rPr>
          <w:rFonts w:ascii="Times New Roman" w:hAnsi="Times New Roman" w:cs="Times New Roman"/>
          <w:sz w:val="28"/>
          <w:szCs w:val="28"/>
          <w:lang w:val="vi-VN"/>
        </w:rPr>
        <w:t xml:space="preserve">: </w:t>
      </w:r>
      <w:r w:rsidR="00E61024" w:rsidRPr="008354C2">
        <w:rPr>
          <w:rFonts w:ascii="Times New Roman" w:hAnsi="Times New Roman" w:cs="Times New Roman"/>
          <w:sz w:val="28"/>
          <w:szCs w:val="28"/>
          <w:lang w:val="vi-VN"/>
        </w:rPr>
        <w:t>“</w:t>
      </w:r>
      <w:r w:rsidRPr="008354C2">
        <w:rPr>
          <w:rFonts w:ascii="Times New Roman" w:hAnsi="Times New Roman" w:cs="Times New Roman"/>
          <w:i/>
          <w:sz w:val="28"/>
          <w:szCs w:val="28"/>
          <w:lang w:val="vi-VN"/>
        </w:rPr>
        <w:t>Cơ quan quản lý có thể quy định hoặc chỉ định trong các hướng dẫn một cách tổng quát hoặc chi tiết về:</w:t>
      </w:r>
    </w:p>
    <w:p w:rsidR="0063121A" w:rsidRPr="008354C2" w:rsidRDefault="0063121A" w:rsidP="0063121A">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cách thức đầu tư tài sản của bất kỳ quỹ bảo hiểm nào của công ty bảo hiểm và nơi duy trì/bảo quản tài sản đầu tư; và</w:t>
      </w:r>
    </w:p>
    <w:p w:rsidR="0063121A" w:rsidRPr="008354C2" w:rsidRDefault="0063121A" w:rsidP="0063121A">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bản chất của tài sản phù hợp với đơn vị tiền tệ mà công ty bảo hiểm phải trả hoặc có thể được yêu cầu phải đáp ứng.</w:t>
      </w:r>
      <w:r w:rsidR="00E61024" w:rsidRPr="008354C2">
        <w:rPr>
          <w:rFonts w:ascii="Times New Roman" w:hAnsi="Times New Roman" w:cs="Times New Roman"/>
          <w:i/>
          <w:sz w:val="28"/>
          <w:szCs w:val="28"/>
          <w:lang w:val="vi-VN"/>
        </w:rPr>
        <w:t>”</w:t>
      </w:r>
    </w:p>
    <w:p w:rsidR="0063121A" w:rsidRPr="008354C2" w:rsidRDefault="00274C39" w:rsidP="0063121A">
      <w:pPr>
        <w:tabs>
          <w:tab w:val="left" w:pos="72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63121A" w:rsidRPr="008354C2">
        <w:rPr>
          <w:rFonts w:ascii="Times New Roman" w:hAnsi="Times New Roman" w:cs="Times New Roman"/>
          <w:sz w:val="28"/>
          <w:szCs w:val="28"/>
          <w:lang w:val="vi-VN"/>
        </w:rPr>
        <w:t xml:space="preserve">Về việc Duy trì tài sản của các công ty bảo hiểm </w:t>
      </w:r>
    </w:p>
    <w:p w:rsidR="0063121A" w:rsidRPr="008354C2" w:rsidRDefault="0063121A" w:rsidP="0063121A">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sz w:val="28"/>
          <w:szCs w:val="28"/>
          <w:lang w:val="vi-VN"/>
        </w:rPr>
        <w:t xml:space="preserve">Điều 21: </w:t>
      </w:r>
      <w:r w:rsidR="00E61024" w:rsidRPr="008354C2">
        <w:rPr>
          <w:rFonts w:ascii="Times New Roman" w:hAnsi="Times New Roman" w:cs="Times New Roman"/>
          <w:sz w:val="28"/>
          <w:szCs w:val="28"/>
          <w:lang w:val="vi-VN"/>
        </w:rPr>
        <w:t>“</w:t>
      </w:r>
      <w:r w:rsidRPr="008354C2">
        <w:rPr>
          <w:rFonts w:ascii="Times New Roman" w:hAnsi="Times New Roman" w:cs="Times New Roman"/>
          <w:i/>
          <w:sz w:val="28"/>
          <w:szCs w:val="28"/>
          <w:lang w:val="vi-VN"/>
        </w:rPr>
        <w:t>(1) Cơ quan quản lý có thể, bất cứ lúc nào, bằng văn bản thông báo cho bất kỳ công ty bảo hiểm nào, chỉ đạo công ty bảo hiểm hoặc nhóm công ty bảo hiểm, tùy từng trường hợp, mỗi công ty bảo hiểm duy trì và giữ số lượng hoặc số lượng tài sản tối thiểu ở Singapore và có thể được nêu rõ trong thông báo nhằm mục đích đáp ứng các trách nhiệm của mình.</w:t>
      </w:r>
    </w:p>
    <w:p w:rsidR="0063121A" w:rsidRPr="008354C2" w:rsidRDefault="0063121A" w:rsidP="0063121A">
      <w:pPr>
        <w:tabs>
          <w:tab w:val="left" w:pos="720"/>
        </w:tabs>
        <w:spacing w:after="120"/>
        <w:ind w:firstLine="9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Không ảnh hưởng đến tính tổng quát của tiểu mục (1), trong một tiểu mục củ</w:t>
      </w:r>
      <w:r w:rsidR="00243F3E" w:rsidRPr="008354C2">
        <w:rPr>
          <w:rFonts w:ascii="Times New Roman" w:hAnsi="Times New Roman" w:cs="Times New Roman"/>
          <w:i/>
          <w:sz w:val="28"/>
          <w:szCs w:val="28"/>
          <w:lang w:val="vi-VN"/>
        </w:rPr>
        <w:t xml:space="preserve">a thông báo, Cơ quan </w:t>
      </w:r>
      <w:r w:rsidRPr="008354C2">
        <w:rPr>
          <w:rFonts w:ascii="Times New Roman" w:hAnsi="Times New Roman" w:cs="Times New Roman"/>
          <w:i/>
          <w:sz w:val="28"/>
          <w:szCs w:val="28"/>
          <w:lang w:val="vi-VN"/>
        </w:rPr>
        <w:t>quản lý có thể nêu rõ:</w:t>
      </w:r>
    </w:p>
    <w:p w:rsidR="0063121A" w:rsidRPr="008354C2" w:rsidRDefault="0063121A" w:rsidP="00243F3E">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các loại nợ phải trả liên quan đến tài sản phải được duy trì và nắm giữ tại Singapore;</w:t>
      </w:r>
    </w:p>
    <w:p w:rsidR="0063121A" w:rsidRPr="008354C2" w:rsidRDefault="0063121A" w:rsidP="00243F3E">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các loại tài sản được coi là tài sản được duy trì và giữ ở Singapore, và số lượng hoặc số tiền tối thiểu đối với mỗi tài sản cho mục đích của bất kỳ yêu cầu nào của Cơ quan quản lý theo tiểu mục đó; và</w:t>
      </w:r>
    </w:p>
    <w:p w:rsidR="0063121A" w:rsidRPr="008354C2" w:rsidRDefault="0063121A" w:rsidP="00243F3E">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 phương pháp định giá tài sản được duy trì và lưu giữ tại Singapore, bao gồm bất kỳ khoản khấu trừ nào được thực hiện đối với tài sản đó.</w:t>
      </w:r>
    </w:p>
    <w:p w:rsidR="0063121A" w:rsidRPr="008354C2" w:rsidRDefault="0063121A" w:rsidP="0063121A">
      <w:pPr>
        <w:tabs>
          <w:tab w:val="left" w:pos="720"/>
        </w:tabs>
        <w:spacing w:after="120"/>
        <w:ind w:firstLine="9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Khi Cơ quan có thẩm quyền đưa ra thông báo theo tiểu mục (1) cho một nhóm các công ty bảo hiểm được cấp phép, Cơ quan có thể chỉ đạo các công ty bảo hiểm khác nhau trong công ty bảo hiểm duy trì và nắm giữ các lượng tài sản tối thiểu khác nhau ở Singapore, liên quan đến tính lành mạnh của từng công ty bảo hiểm, hồ sơ rủi ro của từng công ty bảo hiểm và các yếu tố khác mà Cơ quan có thẩm quyền có thể xem xét có liên quan.</w:t>
      </w:r>
    </w:p>
    <w:p w:rsidR="0063121A" w:rsidRPr="008354C2" w:rsidRDefault="0063121A" w:rsidP="0063121A">
      <w:pPr>
        <w:tabs>
          <w:tab w:val="left" w:pos="720"/>
        </w:tabs>
        <w:spacing w:after="120"/>
        <w:ind w:firstLine="9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Bất kỳ công ty bảo hiểm nào không tuân theo bất kỳ chỉ đạo nào của Cơ quan có thẩm quyền theo tiểu mục (1) sẽ bị phải chịu mức phạt tiền không vượt quá 250.000 đô la và, trong trường hợp tiếp tục vi phạm, một khoản tiền phạt nữa không vượt quá 25.000 đô la cho mỗi ngày hoặc một phần của ngày mà hành vi phạm tội tiếp tục sau khi bị kết án.</w:t>
      </w:r>
      <w:r w:rsidR="00E61024" w:rsidRPr="008354C2">
        <w:rPr>
          <w:rFonts w:ascii="Times New Roman" w:hAnsi="Times New Roman" w:cs="Times New Roman"/>
          <w:i/>
          <w:sz w:val="28"/>
          <w:szCs w:val="28"/>
          <w:lang w:val="vi-VN"/>
        </w:rPr>
        <w:t>”</w:t>
      </w:r>
    </w:p>
    <w:p w:rsidR="0063121A" w:rsidRPr="008354C2" w:rsidRDefault="00274C39" w:rsidP="00243F3E">
      <w:pPr>
        <w:tabs>
          <w:tab w:val="left" w:pos="72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243F3E" w:rsidRPr="008354C2">
        <w:rPr>
          <w:rFonts w:ascii="Times New Roman" w:hAnsi="Times New Roman" w:cs="Times New Roman"/>
          <w:sz w:val="28"/>
          <w:szCs w:val="28"/>
          <w:lang w:val="vi-VN"/>
        </w:rPr>
        <w:t xml:space="preserve">Về </w:t>
      </w:r>
      <w:r w:rsidR="0063121A" w:rsidRPr="008354C2">
        <w:rPr>
          <w:rFonts w:ascii="Times New Roman" w:hAnsi="Times New Roman" w:cs="Times New Roman"/>
          <w:sz w:val="28"/>
          <w:szCs w:val="28"/>
          <w:lang w:val="vi-VN"/>
        </w:rPr>
        <w:t xml:space="preserve">Lưu ký tài sản của doanh nghiệp bảo hiểm </w:t>
      </w:r>
    </w:p>
    <w:p w:rsidR="0063121A" w:rsidRPr="008354C2" w:rsidRDefault="00243F3E" w:rsidP="00243F3E">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sz w:val="28"/>
          <w:szCs w:val="28"/>
          <w:lang w:val="vi-VN"/>
        </w:rPr>
        <w:t xml:space="preserve">Điều </w:t>
      </w:r>
      <w:r w:rsidR="0063121A" w:rsidRPr="008354C2">
        <w:rPr>
          <w:rFonts w:ascii="Times New Roman" w:hAnsi="Times New Roman" w:cs="Times New Roman"/>
          <w:sz w:val="28"/>
          <w:szCs w:val="28"/>
          <w:lang w:val="vi-VN"/>
        </w:rPr>
        <w:t>22</w:t>
      </w:r>
      <w:r w:rsidR="00E61024" w:rsidRPr="008354C2">
        <w:rPr>
          <w:rFonts w:ascii="Times New Roman" w:hAnsi="Times New Roman" w:cs="Times New Roman"/>
          <w:sz w:val="28"/>
          <w:szCs w:val="28"/>
          <w:lang w:val="vi-VN"/>
        </w:rPr>
        <w:t>:</w:t>
      </w:r>
      <w:r w:rsidR="00E61024" w:rsidRPr="008354C2">
        <w:rPr>
          <w:rFonts w:ascii="Times New Roman" w:hAnsi="Times New Roman" w:cs="Times New Roman"/>
          <w:i/>
          <w:sz w:val="28"/>
          <w:szCs w:val="28"/>
          <w:lang w:val="vi-VN"/>
        </w:rPr>
        <w:t xml:space="preserve"> </w:t>
      </w:r>
      <w:r w:rsidR="0063121A" w:rsidRPr="008354C2">
        <w:rPr>
          <w:rFonts w:ascii="Times New Roman" w:hAnsi="Times New Roman" w:cs="Times New Roman"/>
          <w:i/>
          <w:sz w:val="28"/>
          <w:szCs w:val="28"/>
          <w:lang w:val="vi-VN"/>
        </w:rPr>
        <w:t>(1) Trong trường hợp công ty bảo hiểm đã áp dụng một yêu cầu theo mục 21, Cơ quan quản lý có thể đưa ra một yêu cầu bổ sung rằng toàn bộ hoặc một tỷ lệ cụ thể của tài sản áp dụng yêu cầu trong mục đó sẽ do một người được Cơ quan có thẩm quyền phê duyệt cho các mục đích của yêu cầu theo phần này nắm giữ với tư cách là người ủy thác cho công ty bảo hiểm.</w:t>
      </w:r>
    </w:p>
    <w:p w:rsidR="00243F3E" w:rsidRPr="008354C2" w:rsidRDefault="0063121A" w:rsidP="00243F3E">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Tài sản của một công ty bảo hiểm do một người được ủy thác cho công ty bảo hiểm nắm giữ sẽ được người đó nắm giữ theo yêu cầu quy định trong phần này nếu, và chỉ</w:t>
      </w:r>
      <w:r w:rsidR="00243F3E" w:rsidRPr="008354C2">
        <w:rPr>
          <w:rFonts w:ascii="Times New Roman" w:hAnsi="Times New Roman" w:cs="Times New Roman"/>
          <w:i/>
          <w:sz w:val="28"/>
          <w:szCs w:val="28"/>
          <w:lang w:val="vi-VN"/>
        </w:rPr>
        <w:t xml:space="preserve"> khi:</w:t>
      </w:r>
    </w:p>
    <w:p w:rsidR="0063121A" w:rsidRPr="008354C2" w:rsidRDefault="00243F3E" w:rsidP="00243F3E">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b/>
      </w:r>
      <w:r w:rsidR="0063121A" w:rsidRPr="008354C2">
        <w:rPr>
          <w:rFonts w:ascii="Times New Roman" w:hAnsi="Times New Roman" w:cs="Times New Roman"/>
          <w:i/>
          <w:sz w:val="28"/>
          <w:szCs w:val="28"/>
          <w:lang w:val="vi-VN"/>
        </w:rPr>
        <w:t>(a) chúng là tài sản mà công ty bảo hiểm đã thông báo cho anh ta phải được anh ta nắm giữ theo yêu cầu đó; hoặc là</w:t>
      </w:r>
    </w:p>
    <w:p w:rsidR="0063121A" w:rsidRPr="008354C2" w:rsidRDefault="0063121A" w:rsidP="0063121A">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chúng là những tài sản mà những tài sản mà người bảo hiểm đã thông báo bằng văn bản cho anh ta như vậy, bằng bất kỳ giao dịch hoặc chuỗi giao dịch nào, được anh ta chuyển đổi theo hướng dẫn của người bảo hiểm.</w:t>
      </w:r>
    </w:p>
    <w:p w:rsidR="0063121A" w:rsidRPr="008354C2" w:rsidRDefault="0063121A" w:rsidP="00243F3E">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Không tài sản nào do một người được ủy thác giữ cho một công ty bảo hiểm được cấp phép tuân theo yêu cầu quy định trong phần này, miễn là yêu cầu có hiệu lực, sẽ được giải phóng trừ khi có sự đồng ý bằng văn bản của Cơ quan có thẩm quyền.</w:t>
      </w:r>
    </w:p>
    <w:p w:rsidR="0063121A" w:rsidRPr="008354C2" w:rsidRDefault="0063121A" w:rsidP="0063121A">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Nếu một khoản thế chấp hoặc khoản phí được tạo ra bởi một công ty bảo hiểm vào thời điểm có yêu cầu bắt buộc đối với công ty bảo hiểm theo quy định của phần này, thì việc thế chấp hoặc khoản phí bảo đảm cho bất kỳ tài sản nào được nắm giữ bởi người được ủy thác cho công ty bảo hiểm tuân theo yêu cầu, khoản thế chấp hoặc khoản phí, trong phạm vi bảo đảm, sẽ vô hiệu đối với người thanh lý và bất kỳ chủ nợ nào của công ty bảo hiểm.</w:t>
      </w:r>
    </w:p>
    <w:p w:rsidR="0063121A" w:rsidRPr="008354C2" w:rsidRDefault="00E17DB7" w:rsidP="00E17DB7">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1.5.2. Trung Quốc</w:t>
      </w:r>
    </w:p>
    <w:p w:rsidR="00E61024" w:rsidRPr="008354C2" w:rsidRDefault="00274C39" w:rsidP="00E17DB7">
      <w:pPr>
        <w:tabs>
          <w:tab w:val="center" w:pos="0"/>
        </w:tabs>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w:t>
      </w:r>
      <w:r w:rsidR="00E17DB7" w:rsidRPr="008354C2">
        <w:rPr>
          <w:rFonts w:ascii="Times New Roman" w:eastAsia="Arial" w:hAnsi="Times New Roman" w:cs="Times New Roman"/>
          <w:sz w:val="28"/>
          <w:szCs w:val="28"/>
          <w:lang w:val="vi-VN"/>
        </w:rPr>
        <w:t xml:space="preserve">Điều 106 Luật bảo hiểm Trung Quốc: </w:t>
      </w:r>
    </w:p>
    <w:p w:rsidR="00E17DB7" w:rsidRPr="008354C2" w:rsidRDefault="00E61024" w:rsidP="00E17DB7">
      <w:pPr>
        <w:tabs>
          <w:tab w:val="center" w:pos="0"/>
        </w:tabs>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w:t>
      </w:r>
      <w:r w:rsidR="00E17DB7" w:rsidRPr="008354C2">
        <w:rPr>
          <w:rFonts w:ascii="Times New Roman" w:eastAsia="Arial" w:hAnsi="Times New Roman" w:cs="Times New Roman"/>
          <w:i/>
          <w:sz w:val="28"/>
          <w:szCs w:val="28"/>
          <w:lang w:val="vi-VN"/>
        </w:rPr>
        <w:t>Các công ty bảo hiểm phải sử dụng các quỹ theo nguyên tắc ổn định và an toàn.</w:t>
      </w:r>
    </w:p>
    <w:p w:rsidR="00E17DB7" w:rsidRPr="008354C2" w:rsidRDefault="00E17DB7" w:rsidP="00E17DB7">
      <w:pPr>
        <w:tabs>
          <w:tab w:val="center" w:pos="0"/>
        </w:tabs>
        <w:spacing w:after="120"/>
        <w:jc w:val="both"/>
        <w:rPr>
          <w:rFonts w:ascii="Times New Roman" w:eastAsia="Arial" w:hAnsi="Times New Roman" w:cs="Times New Roman"/>
          <w:i/>
          <w:sz w:val="28"/>
          <w:szCs w:val="28"/>
          <w:lang w:val="vi-VN"/>
        </w:rPr>
      </w:pPr>
      <w:r w:rsidRPr="008354C2">
        <w:rPr>
          <w:rFonts w:ascii="Times New Roman" w:eastAsia="FangSong_GB2312" w:hAnsi="Times New Roman" w:cs="Times New Roman"/>
          <w:i/>
          <w:sz w:val="28"/>
          <w:szCs w:val="28"/>
          <w:lang w:val="vi-VN"/>
        </w:rPr>
        <w:t>Việc sử dụng quỹ bảo hiểm bị giới hạn trong hoạt động sau</w:t>
      </w:r>
      <w:r w:rsidRPr="008354C2">
        <w:rPr>
          <w:rFonts w:ascii="Times New Roman" w:eastAsia="Arial" w:hAnsi="Times New Roman" w:cs="Times New Roman"/>
          <w:i/>
          <w:sz w:val="28"/>
          <w:szCs w:val="28"/>
          <w:lang w:val="vi-VN"/>
        </w:rPr>
        <w:t>:</w:t>
      </w:r>
    </w:p>
    <w:p w:rsidR="00E17DB7" w:rsidRPr="008354C2" w:rsidRDefault="00E17DB7" w:rsidP="00E17DB7">
      <w:pPr>
        <w:widowControl w:val="0"/>
        <w:numPr>
          <w:ilvl w:val="0"/>
          <w:numId w:val="1"/>
        </w:numPr>
        <w:tabs>
          <w:tab w:val="center" w:pos="0"/>
        </w:tabs>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gửi ngân hàng; </w:t>
      </w:r>
    </w:p>
    <w:p w:rsidR="00E17DB7" w:rsidRPr="008354C2" w:rsidRDefault="00E17DB7" w:rsidP="00E17DB7">
      <w:pPr>
        <w:widowControl w:val="0"/>
        <w:numPr>
          <w:ilvl w:val="0"/>
          <w:numId w:val="1"/>
        </w:numPr>
        <w:tabs>
          <w:tab w:val="center" w:pos="0"/>
        </w:tabs>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giao dịch trái phiếu, cổ phần, cổ phiếu trong các quỹ đầu tư chứng khoán và các chứng khoán khác; </w:t>
      </w:r>
    </w:p>
    <w:p w:rsidR="00E17DB7" w:rsidRPr="008354C2" w:rsidRDefault="00E17DB7" w:rsidP="00E17DB7">
      <w:pPr>
        <w:widowControl w:val="0"/>
        <w:numPr>
          <w:ilvl w:val="0"/>
          <w:numId w:val="1"/>
        </w:numPr>
        <w:tabs>
          <w:tab w:val="center" w:pos="0"/>
        </w:tabs>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đầu tư vào bất động sản; và</w:t>
      </w:r>
    </w:p>
    <w:p w:rsidR="00E17DB7" w:rsidRPr="008354C2" w:rsidRDefault="00E17DB7" w:rsidP="00E17DB7">
      <w:pPr>
        <w:widowControl w:val="0"/>
        <w:numPr>
          <w:ilvl w:val="0"/>
          <w:numId w:val="1"/>
        </w:numPr>
        <w:tabs>
          <w:tab w:val="center" w:pos="0"/>
        </w:tabs>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 xml:space="preserve">các mục đích sử dụng quỹ khác theo quy định của Hội đồng quản lý bảo hiểm Nhà nước. </w:t>
      </w:r>
    </w:p>
    <w:p w:rsidR="00E17DB7" w:rsidRPr="008354C2" w:rsidRDefault="00E17DB7" w:rsidP="00E17DB7">
      <w:pPr>
        <w:tabs>
          <w:tab w:val="center" w:pos="0"/>
        </w:tabs>
        <w:spacing w:after="120"/>
        <w:jc w:val="both"/>
        <w:rPr>
          <w:rFonts w:ascii="Times New Roman" w:eastAsia="Arial" w:hAnsi="Times New Roman" w:cs="Times New Roman"/>
          <w:i/>
          <w:sz w:val="28"/>
          <w:szCs w:val="28"/>
        </w:rPr>
      </w:pPr>
      <w:r w:rsidRPr="008354C2">
        <w:rPr>
          <w:rFonts w:ascii="Times New Roman" w:eastAsia="Arial" w:hAnsi="Times New Roman" w:cs="Times New Roman"/>
          <w:i/>
          <w:sz w:val="28"/>
          <w:szCs w:val="28"/>
        </w:rPr>
        <w:t>Các biện pháp cụ thể về việc quản lý sử dụng các quỹ của công ty bảo hiểm sẽ do cơ quan quản lý bảo hiểm thuộc Chính phủ quy định ở hai điề</w:t>
      </w:r>
      <w:r w:rsidR="00E61024" w:rsidRPr="008354C2">
        <w:rPr>
          <w:rFonts w:ascii="Times New Roman" w:eastAsia="Arial" w:hAnsi="Times New Roman" w:cs="Times New Roman"/>
          <w:i/>
          <w:sz w:val="28"/>
          <w:szCs w:val="28"/>
        </w:rPr>
        <w:t>u trên.”</w:t>
      </w:r>
    </w:p>
    <w:p w:rsidR="00F33B42" w:rsidRPr="008354C2" w:rsidRDefault="00274C39" w:rsidP="00E17DB7">
      <w:pPr>
        <w:spacing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w:t>
      </w:r>
      <w:r w:rsidR="00E17DB7" w:rsidRPr="008354C2">
        <w:rPr>
          <w:rFonts w:ascii="Times New Roman" w:eastAsia="Arial" w:hAnsi="Times New Roman" w:cs="Times New Roman"/>
          <w:sz w:val="28"/>
          <w:szCs w:val="28"/>
          <w:lang w:val="vi-VN"/>
        </w:rPr>
        <w:t>Điều 107</w:t>
      </w:r>
      <w:r w:rsidR="00E17DB7" w:rsidRPr="008354C2">
        <w:rPr>
          <w:rFonts w:ascii="Times New Roman" w:eastAsia="Arial" w:hAnsi="Times New Roman" w:cs="Times New Roman"/>
          <w:sz w:val="28"/>
          <w:szCs w:val="28"/>
        </w:rPr>
        <w:t xml:space="preserve"> Luật bảo hiểm Trung Quốc:</w:t>
      </w:r>
      <w:r w:rsidR="00E17DB7" w:rsidRPr="008354C2">
        <w:rPr>
          <w:rFonts w:ascii="Times New Roman" w:eastAsia="Arial" w:hAnsi="Times New Roman" w:cs="Times New Roman"/>
          <w:sz w:val="28"/>
          <w:szCs w:val="28"/>
          <w:lang w:val="vi-VN"/>
        </w:rPr>
        <w:t xml:space="preserve"> </w:t>
      </w:r>
    </w:p>
    <w:p w:rsidR="00E17DB7" w:rsidRPr="008354C2" w:rsidRDefault="00F33B42" w:rsidP="00E17DB7">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sz w:val="28"/>
          <w:szCs w:val="28"/>
        </w:rPr>
        <w:t>“</w:t>
      </w:r>
      <w:r w:rsidR="00E17DB7" w:rsidRPr="008354C2">
        <w:rPr>
          <w:rFonts w:ascii="Times New Roman" w:eastAsia="Arial" w:hAnsi="Times New Roman" w:cs="Times New Roman"/>
          <w:i/>
          <w:sz w:val="28"/>
          <w:szCs w:val="28"/>
          <w:lang w:val="vi-VN"/>
        </w:rPr>
        <w:t xml:space="preserve">Khi có sự phê duyệt chung của cơ quan quản lý bảo hiểm và cơ quan quản lý chứng khoán thuộc Chính phủ, công ty bảo hiểm có thể thành lập công ty quản lý tài sản bảo hiểm. </w:t>
      </w:r>
    </w:p>
    <w:p w:rsidR="00E17DB7" w:rsidRPr="008354C2" w:rsidRDefault="00E17DB7" w:rsidP="00E17DB7">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Các công ty quản lý tài sản bảo hiểm thực hiện các hoạt động đầu tư chứng khoán theo Luật Chứng khoán của Cộng hòa Nhân dân Trung Hoa cùng các luật và quy định quản lý có liên quan khác.</w:t>
      </w:r>
    </w:p>
    <w:p w:rsidR="00E17DB7" w:rsidRPr="008354C2" w:rsidRDefault="00E17DB7" w:rsidP="00E17DB7">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Các biện pháp quản lý công ty quản lý tài sản bảo hiểm sẽ do cơ quan quản lý bảo hiểm và các cơ quan chức năng có liên quan khác xây dựng theo quy định của Chính phủ</w:t>
      </w:r>
      <w:r w:rsidR="00F33B42" w:rsidRPr="008354C2">
        <w:rPr>
          <w:rFonts w:ascii="Times New Roman" w:eastAsia="Arial" w:hAnsi="Times New Roman" w:cs="Times New Roman"/>
          <w:i/>
          <w:sz w:val="28"/>
          <w:szCs w:val="28"/>
          <w:lang w:val="vi-VN"/>
        </w:rPr>
        <w:t>.”</w:t>
      </w:r>
    </w:p>
    <w:p w:rsidR="00E17DB7" w:rsidRPr="008354C2" w:rsidRDefault="00E17DB7" w:rsidP="00E17DB7">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1.5.3. Đài Loan</w:t>
      </w:r>
    </w:p>
    <w:p w:rsidR="00F33B42" w:rsidRPr="008354C2" w:rsidRDefault="00C30D79" w:rsidP="00E17DB7">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sz w:val="28"/>
          <w:szCs w:val="28"/>
          <w:lang w:val="vi-VN"/>
        </w:rPr>
        <w:t xml:space="preserve">- </w:t>
      </w:r>
      <w:r w:rsidR="00751773" w:rsidRPr="008354C2">
        <w:rPr>
          <w:rFonts w:ascii="Times New Roman" w:hAnsi="Times New Roman" w:cs="Times New Roman"/>
          <w:sz w:val="28"/>
          <w:szCs w:val="28"/>
          <w:lang w:val="vi-VN"/>
        </w:rPr>
        <w:t xml:space="preserve"> </w:t>
      </w:r>
      <w:r w:rsidR="00E17DB7" w:rsidRPr="008354C2">
        <w:rPr>
          <w:rFonts w:ascii="Times New Roman" w:hAnsi="Times New Roman" w:cs="Times New Roman"/>
          <w:sz w:val="28"/>
          <w:szCs w:val="28"/>
          <w:lang w:val="vi-VN"/>
        </w:rPr>
        <w:t xml:space="preserve">Điều 146 </w:t>
      </w:r>
      <w:r w:rsidR="00E17DB7" w:rsidRPr="008354C2">
        <w:rPr>
          <w:rFonts w:ascii="Times New Roman" w:eastAsia="Arial" w:hAnsi="Times New Roman" w:cs="Times New Roman"/>
          <w:sz w:val="28"/>
          <w:szCs w:val="28"/>
          <w:lang w:val="vi-VN"/>
        </w:rPr>
        <w:t>Luật bảo hiểm Đài Loan:</w:t>
      </w:r>
      <w:r w:rsidR="00E17DB7" w:rsidRPr="008354C2">
        <w:rPr>
          <w:rFonts w:ascii="Times New Roman" w:hAnsi="Times New Roman" w:cs="Times New Roman"/>
          <w:i/>
          <w:sz w:val="28"/>
          <w:szCs w:val="28"/>
          <w:lang w:val="vi-VN"/>
        </w:rPr>
        <w:t xml:space="preserve"> </w:t>
      </w:r>
    </w:p>
    <w:p w:rsidR="00E17DB7" w:rsidRPr="008354C2" w:rsidRDefault="00F33B42" w:rsidP="00E17DB7">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Ngoại trừ tiền gửi tiết kiệm, việc phân bổ kinh phí của doanh nghiệp bảo hiểm được giới hạn như sau:</w:t>
      </w:r>
    </w:p>
    <w:p w:rsidR="00E17DB7" w:rsidRPr="008354C2" w:rsidRDefault="00E17DB7" w:rsidP="00D47A29">
      <w:pPr>
        <w:tabs>
          <w:tab w:val="center" w:pos="0"/>
        </w:tabs>
        <w:spacing w:after="6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Chứng khoán.</w:t>
      </w:r>
    </w:p>
    <w:p w:rsidR="00E17DB7" w:rsidRPr="008354C2" w:rsidRDefault="00E17DB7" w:rsidP="00D47A29">
      <w:pPr>
        <w:tabs>
          <w:tab w:val="center" w:pos="0"/>
        </w:tabs>
        <w:spacing w:after="6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Bất động sản.</w:t>
      </w:r>
    </w:p>
    <w:p w:rsidR="00E17DB7" w:rsidRPr="008354C2" w:rsidRDefault="00E17DB7" w:rsidP="00D47A29">
      <w:pPr>
        <w:tabs>
          <w:tab w:val="center" w:pos="0"/>
        </w:tabs>
        <w:spacing w:after="6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Các khoản cho vay.</w:t>
      </w:r>
    </w:p>
    <w:p w:rsidR="00E17DB7" w:rsidRPr="008354C2" w:rsidRDefault="00E17DB7" w:rsidP="00D47A29">
      <w:pPr>
        <w:tabs>
          <w:tab w:val="center" w:pos="0"/>
        </w:tabs>
        <w:spacing w:after="6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Phân bổ kinh phí cho các dự án đặc biệt và đầu tư vào các công trình công ích, doanh nghiệp phúc lợi xã hội khi được cơ quan có thẩm quyền phê duyệt.</w:t>
      </w:r>
    </w:p>
    <w:p w:rsidR="00E17DB7" w:rsidRPr="008354C2" w:rsidRDefault="00E17DB7" w:rsidP="00D47A29">
      <w:pPr>
        <w:tabs>
          <w:tab w:val="center" w:pos="0"/>
        </w:tabs>
        <w:spacing w:after="6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5. Đầu tư nước ngoài.</w:t>
      </w:r>
    </w:p>
    <w:p w:rsidR="00E17DB7" w:rsidRPr="008354C2" w:rsidRDefault="00E17DB7" w:rsidP="00D47A29">
      <w:pPr>
        <w:tabs>
          <w:tab w:val="center" w:pos="0"/>
        </w:tabs>
        <w:spacing w:after="6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6. Đầu tư vào các doanh nghiệp liên quan đến bảo hiểm.</w:t>
      </w:r>
    </w:p>
    <w:p w:rsidR="00E17DB7" w:rsidRPr="008354C2" w:rsidRDefault="00E17DB7" w:rsidP="00D47A29">
      <w:pPr>
        <w:tabs>
          <w:tab w:val="center" w:pos="0"/>
        </w:tabs>
        <w:spacing w:after="6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7. Giao dịch phái sinh.</w:t>
      </w:r>
    </w:p>
    <w:p w:rsidR="00E17DB7" w:rsidRPr="008354C2" w:rsidRDefault="00E17DB7" w:rsidP="00E17DB7">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8. Các khoản kinh phí khác được cấp có thẩm quyền phê duyệt.</w:t>
      </w:r>
    </w:p>
    <w:p w:rsidR="00E17DB7" w:rsidRPr="008354C2" w:rsidRDefault="00E17DB7" w:rsidP="00E17DB7">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Thuật ngữ "các quỹ" trong đoạn trên bao gồm vốn cổ phần của chủ sở hữu và các quỹ dự trữ khác nhau.</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Khoản tiết kiệm trong khoản 1 được gửi vào bất kỳ tổ chức tài chính đơn lẻ nào có thể không vượt quá 10% quỹ của doanh nghiệp bảo hiểm, trừ khi được cơ quan có thẩm quyền phê duyệ</w:t>
      </w:r>
      <w:r w:rsidR="00D47A29" w:rsidRPr="008354C2">
        <w:rPr>
          <w:rFonts w:ascii="Times New Roman" w:hAnsi="Times New Roman" w:cs="Times New Roman"/>
          <w:i/>
          <w:sz w:val="28"/>
          <w:szCs w:val="28"/>
          <w:lang w:val="vi-VN"/>
        </w:rPr>
        <w:t xml:space="preserve">t, </w:t>
      </w:r>
      <w:r w:rsidRPr="008354C2">
        <w:rPr>
          <w:rFonts w:ascii="Times New Roman" w:hAnsi="Times New Roman" w:cs="Times New Roman"/>
          <w:i/>
          <w:sz w:val="28"/>
          <w:szCs w:val="28"/>
          <w:lang w:val="vi-VN"/>
        </w:rPr>
        <w:t>miễn là hạn chế này không áp dụng khi cơ quan có thẩm quyền đã phê duyệt.</w:t>
      </w:r>
    </w:p>
    <w:p w:rsidR="0095405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"Doanh nghiệp liên quan đến bảo hiểm" tại khoản 1, phụ đoạn 6 có nghĩa là các doanh nghiệp bảo hiểm, tài chính, ngân hàng, hóa đơn, tín dụng, thẻ tín dụng, cho thuê tài chính, chứng khoán, hợp đồng tương lai, tín thác đầu tư chứng khoán và doanh nghiệp tư vấn đầu tư chứng khoán cũng như các doanh nghiệp liên quan đến bảo hiểm khác được cơ quan có thẩm quyền công nhận.</w:t>
      </w:r>
      <w:r w:rsidR="00954057" w:rsidRPr="008354C2">
        <w:rPr>
          <w:rFonts w:ascii="Times New Roman" w:hAnsi="Times New Roman" w:cs="Times New Roman"/>
          <w:i/>
          <w:sz w:val="28"/>
          <w:szCs w:val="28"/>
          <w:lang w:val="vi-VN"/>
        </w:rPr>
        <w:t xml:space="preserve"> </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Doanh nghiệp bảo hiểm tham gia kinh doanh bảo hiểm liên kết đầu tư hoặc kinh doanh bảo hiểm hưu trí lao động phải lập một tài khoản riêng để ghi lại giá trị tài sản mà Quỹ đầu tư.</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Cơ quan có thẩm quyền đặt ra các quy định về quản lý và lưu giữ tài khoản riêng, phân bổ tài sản đầu tư và các vấn đề tuân thủ khác liên quan đến hoạt động kinh doanh bảo hiểm liên kết đầu tư, không bị hạn chế quy định tại khoản 1; khoản 3; Điều 146-1; Điều 146-2; Điều 146-4; Điều 146-5; và Điều 146-7.</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Đối với tài sản cần có tài khoản riêng theo khoản 5, nếu chủ hợp đồng bảo hiểm giữ lại doanh nghiệp bảo hiểm bằng hợp đồng bảo hiểm để thực hiện phân bổ tài sản tùy ý và tài sản đó được phân bổ cho việc mua chứng khoán quy định tại Điều 6 của Luật Chứng khoán và Giao dịch, việc áp dụng đồng thời các dịch vụ đầu tư tùy ý sẽ được thực hiện theo Luật Tư vấn và Đầu tư Chứng khoán.</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Đối với giao dịch phái sinh của khoản 1, phụ đoạn 7, cơ quan có thẩm quyền đặt ra các quy định về các điều khoản và điều kiện của giao dịch đó, phạm vi, giới hạn giao dịch, thủ tục xử lý nội bộ và các vấn đề tuân thủ khác.</w:t>
      </w:r>
      <w:r w:rsidR="00F33B42" w:rsidRPr="008354C2">
        <w:rPr>
          <w:rFonts w:ascii="Times New Roman" w:hAnsi="Times New Roman" w:cs="Times New Roman"/>
          <w:i/>
          <w:sz w:val="28"/>
          <w:szCs w:val="28"/>
          <w:lang w:val="vi-VN"/>
        </w:rPr>
        <w:t>”</w:t>
      </w:r>
    </w:p>
    <w:p w:rsidR="00F33B42" w:rsidRPr="008354C2" w:rsidRDefault="00C30D79" w:rsidP="00D47A29">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E17DB7" w:rsidRPr="008354C2">
        <w:rPr>
          <w:rFonts w:ascii="Times New Roman" w:hAnsi="Times New Roman" w:cs="Times New Roman"/>
          <w:sz w:val="28"/>
          <w:szCs w:val="28"/>
          <w:lang w:val="vi-VN"/>
        </w:rPr>
        <w:t xml:space="preserve">Điều 146-1: </w:t>
      </w:r>
    </w:p>
    <w:p w:rsidR="00E17DB7" w:rsidRPr="008354C2" w:rsidRDefault="00F33B42"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Kinh phí của doanh nghiệp bảo hiểm có thể được sử dụng để mua chứng khoán có thể bán được sau:</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Trái phiếu Chính phủ và tín phiếu kho bạc.</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Trái phiếu tài chính, chứng chỉ thương phiếu tiền gửi, chấp phiếu của ngân hàng và hối phiếu thương mại do tổ chức tài chính bảo lãnh, tổng số tiền không được vượt quá 35% số tiền của doanh nghiệp bảo hiểm.</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Cổ phiếu của công ty phát hành ra công chúng được chấp thuận theo luật: Cổ phiếu mua từ mỗi công ty cộng với chứng khoán dựa trên quyền chọn được cơ quan có thẩm quyền phê duyệt mua có thể không vượt quá 5% vốn của doanh nghiệp bảo hiểm cụ thể và 10% số tiền đã thanh toán vốn của công ty phát hành.</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Trái phiếu doanh nghiệp bảo lãnh phát hành hoặc trái phiếu doanh nghiệp phát hành bởi một công ty được xếp hạng bởi một cơ quan xếp hạng không dưới mức xếp hạng cụ thể và được chấp thuận theo quy định của pháp luật, với điều kiện là số tiền tổng hợp của doanh nghiệp bảo hiểm trong trái phiếu doanh nghiệp đó không được vượt quá 5% số tiền của doanh nghiệp bảo hiểm và tổng số trái phiếu từ bất kỳ công ty nào không được vượ</w:t>
      </w:r>
      <w:r w:rsidR="00954057" w:rsidRPr="008354C2">
        <w:rPr>
          <w:rFonts w:ascii="Times New Roman" w:hAnsi="Times New Roman" w:cs="Times New Roman"/>
          <w:i/>
          <w:sz w:val="28"/>
          <w:szCs w:val="28"/>
          <w:lang w:val="vi-VN"/>
        </w:rPr>
        <w:t xml:space="preserve">t quá 10% </w:t>
      </w:r>
      <w:r w:rsidRPr="008354C2">
        <w:rPr>
          <w:rFonts w:ascii="Times New Roman" w:hAnsi="Times New Roman" w:cs="Times New Roman"/>
          <w:i/>
          <w:sz w:val="28"/>
          <w:szCs w:val="28"/>
          <w:lang w:val="vi-VN"/>
        </w:rPr>
        <w:t>vốn góp của công ty phát hành trái phiếu doanh nghiệp.</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5. Giấy chứng nhận lãi có lợi cho các quỹ ủy thác đầu tư chứng khoán và quỹ ủy thác tương hỗ đã được phê duyệt công khai. Tổng số tiền đầu tư của doanh nghiệp bảo hiểm không được vượt quá 10% số tiền của doanh nghiệp bảo hiểm và doanh nghiệp bảo hiểm không được đầu tư quá 10% tổng số tiền lãi của các chứng chỉ có lãi.</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6. Sản phẩm chứng khoán và chứng khoán có thể giao dịch khác mà cơ quan có thẩm quyền đã cấp phê duyệt cho doanh nghiệp bảo hiểm để mua, tổng số tiền không được vượt quá 10% số tiền của doanh nghiệp bảo hiểm.</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Tổng số tiền đầu tư dự tính theo các phụ đoạn 3 và 4 của đoạn trên không được vượt quá 35% số tiền của doanh nghiệp bảo hiểm.</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Các khoản đầu tư của các doanh nghiệp bảo hiểm theo Khoản 1, phụ đoạn 3 và 6 có thể không được tìm thấy với bất kỳ điều kiện nào sau đây:</w:t>
      </w:r>
    </w:p>
    <w:p w:rsidR="00E17DB7" w:rsidRPr="008354C2" w:rsidRDefault="00E17DB7" w:rsidP="00954057">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I. Đối với doanh nghiệp bảo hiểm hoặc người đại diện là giám đốc hoặc giám sát của công ty được đầu tư.</w:t>
      </w:r>
    </w:p>
    <w:p w:rsidR="00E17DB7" w:rsidRPr="008354C2" w:rsidRDefault="00E17DB7" w:rsidP="00954057">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II. Doanh nghiệp bảo hiểm có thể bỏ phiếu lựa chọn giám đốc hoặc giám sát viên tại công ty đang được đầu tư.</w:t>
      </w:r>
    </w:p>
    <w:p w:rsidR="00E17DB7" w:rsidRPr="008354C2" w:rsidRDefault="00E17DB7" w:rsidP="00954057">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III. Người được chỉ định của doanh nghiệp bảo hiểm được thuê làm người quản lý tại công ty đang được đầu tư.</w:t>
      </w:r>
    </w:p>
    <w:p w:rsidR="00E17DB7" w:rsidRPr="008354C2" w:rsidRDefault="00E17DB7" w:rsidP="00954057">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IV. Doanh nghiệp bảo hiểm đóng vai trò giám sát tín nhiệm cho các sản phẩm tín thác được đầu tư.</w:t>
      </w:r>
    </w:p>
    <w:p w:rsidR="00E17DB7" w:rsidRPr="008354C2" w:rsidRDefault="00E17DB7" w:rsidP="00954057">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V. Doanh nghiệp bảo hiểm tham gia vào hoạt động của công ty được đầu tư và hoạt động và quản lý quỹ ủy thác đầu tư bất động sản được đầu tư bằng phương tiện ủy thác, ủy thác hoặc hợp đồng hoặc thỏa thuận ký với bên thứ ba, ủy quyền hoặc khác, không bao gồm thanh lý quỹ.</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Khi một doanh nghiệp bảo hiểm được tìm thấy với bất kỳ điều kiện nào nêu trên, vị trí của doanh nghiệp bảo hiểm hoặc người đại diện của nó là giám đốc hoặc người giám sát, bỏ phiếu, người được chỉ định làm người quản lý và hợp đồng, thỏa thuận hoặc ủy quyền với bên thứ ba sẽ không hợp lệ</w:t>
      </w:r>
      <w:r w:rsidR="00954057" w:rsidRPr="008354C2">
        <w:rPr>
          <w:rFonts w:ascii="Times New Roman" w:hAnsi="Times New Roman" w:cs="Times New Roman"/>
          <w:i/>
          <w:sz w:val="28"/>
          <w:szCs w:val="28"/>
          <w:lang w:val="vi-VN"/>
        </w:rPr>
        <w:t>.</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Đối với các khoản đầu tư của doanh nghiệp bảo hiểm theo khoản 1, phụ đoạn 3 đến 6 trong chứng khoán phát hành công khai không được niêm yết trên thị trường trao đổi hoặc OTC hoặc chứng khoán tư nhân, cơ quan có thẩm quyền đặt ra các quy định về điều kiện, phạm vi và loại đầu tư, quy tắc đầu tư và các vấn đề tuân thủ khác.</w:t>
      </w:r>
      <w:r w:rsidR="00F33B42" w:rsidRPr="008354C2">
        <w:rPr>
          <w:rFonts w:ascii="Times New Roman" w:hAnsi="Times New Roman" w:cs="Times New Roman"/>
          <w:i/>
          <w:sz w:val="28"/>
          <w:szCs w:val="28"/>
          <w:lang w:val="vi-VN"/>
        </w:rPr>
        <w:t>”</w:t>
      </w:r>
    </w:p>
    <w:p w:rsidR="00683048" w:rsidRPr="008354C2" w:rsidRDefault="00751773" w:rsidP="00D47A29">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E17DB7" w:rsidRPr="008354C2">
        <w:rPr>
          <w:rFonts w:ascii="Times New Roman" w:hAnsi="Times New Roman" w:cs="Times New Roman"/>
          <w:sz w:val="28"/>
          <w:szCs w:val="28"/>
          <w:lang w:val="vi-VN"/>
        </w:rPr>
        <w:t>Điều 146-2:</w:t>
      </w:r>
      <w:r w:rsidR="00E17DB7" w:rsidRPr="008354C2">
        <w:rPr>
          <w:rFonts w:ascii="Times New Roman" w:hAnsi="Times New Roman" w:cs="Times New Roman"/>
          <w:b/>
          <w:sz w:val="28"/>
          <w:szCs w:val="28"/>
          <w:lang w:val="vi-VN"/>
        </w:rPr>
        <w:t xml:space="preserve"> </w:t>
      </w:r>
    </w:p>
    <w:p w:rsidR="00E17DB7" w:rsidRPr="008354C2" w:rsidRDefault="00683048" w:rsidP="00D47A29">
      <w:pPr>
        <w:tabs>
          <w:tab w:val="center" w:pos="0"/>
        </w:tabs>
        <w:spacing w:before="120" w:after="120"/>
        <w:jc w:val="both"/>
        <w:rPr>
          <w:rFonts w:ascii="Times New Roman" w:hAnsi="Times New Roman" w:cs="Times New Roman"/>
          <w:b/>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Đầu tư vào bất động sản của một doanh nghiệp bảo hiểm sẽ được giới hạn ở bất động sản có thể được sử dụng ngay lập tức và từ đó có thể có được lợi ích. Tổng số tiền đầu tư như vậy, ngoài việc sở hữu bất động sản do doanh nghiệp bảo hiểm sử dụng, không được vượt quá 30% vốn của doanh nghiệp bảo hiểm. Trường hợp mua bất động sản để tự sử dụng thì tổng số tiền đầu tư vào một doanh nghiệp bảo hiểm không được vượt quá tổng số vốn chủ sở hữu của nó.</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Việc mua lại và xử lý bất động sản của doanh nghiệp bảo hiểm sẽ do tổ chức thẩm định bất động sản được thành lập hợp pháp thẩm định.</w:t>
      </w:r>
    </w:p>
    <w:p w:rsidR="00751773" w:rsidRPr="008354C2" w:rsidRDefault="00E17DB7" w:rsidP="00D47A29">
      <w:pPr>
        <w:tabs>
          <w:tab w:val="center" w:pos="0"/>
        </w:tabs>
        <w:spacing w:before="120" w:after="120"/>
        <w:jc w:val="both"/>
        <w:rPr>
          <w:rFonts w:ascii="Times New Roman" w:hAnsi="Times New Roman" w:cs="Times New Roman"/>
          <w:b/>
          <w:sz w:val="28"/>
          <w:szCs w:val="28"/>
          <w:lang w:val="vi-VN"/>
        </w:rPr>
      </w:pPr>
      <w:r w:rsidRPr="008354C2">
        <w:rPr>
          <w:rFonts w:ascii="Times New Roman" w:hAnsi="Times New Roman" w:cs="Times New Roman"/>
          <w:i/>
          <w:sz w:val="28"/>
          <w:szCs w:val="28"/>
          <w:lang w:val="vi-VN"/>
        </w:rPr>
        <w:t>Khi một doanh nghiệp bảo hiểm khởi động nhà ở xã hội chỉ cho thuê theo Luật về Nhà ở, nó sẽ không bị hạn chế sử dụng ngay lập tức với lãi suất như đã nêu trong Khoản 1.</w:t>
      </w:r>
      <w:r w:rsidR="00683048" w:rsidRPr="008354C2">
        <w:rPr>
          <w:rFonts w:ascii="Times New Roman" w:hAnsi="Times New Roman" w:cs="Times New Roman"/>
          <w:i/>
          <w:sz w:val="28"/>
          <w:szCs w:val="28"/>
          <w:lang w:val="vi-VN"/>
        </w:rPr>
        <w:t>”</w:t>
      </w:r>
      <w:r w:rsidRPr="008354C2">
        <w:rPr>
          <w:rFonts w:ascii="Times New Roman" w:hAnsi="Times New Roman" w:cs="Times New Roman"/>
          <w:sz w:val="28"/>
          <w:szCs w:val="28"/>
          <w:lang w:val="vi-VN"/>
        </w:rPr>
        <w:tab/>
      </w:r>
    </w:p>
    <w:p w:rsidR="00683048" w:rsidRPr="008354C2" w:rsidRDefault="00751773" w:rsidP="00D47A29">
      <w:pPr>
        <w:tabs>
          <w:tab w:val="center" w:pos="0"/>
        </w:tabs>
        <w:spacing w:before="120" w:after="120"/>
        <w:jc w:val="both"/>
        <w:rPr>
          <w:rFonts w:ascii="Times New Roman" w:hAnsi="Times New Roman" w:cs="Times New Roman"/>
          <w:b/>
          <w:sz w:val="28"/>
          <w:szCs w:val="28"/>
          <w:lang w:val="vi-VN"/>
        </w:rPr>
      </w:pPr>
      <w:r w:rsidRPr="008354C2">
        <w:rPr>
          <w:rFonts w:ascii="Times New Roman" w:hAnsi="Times New Roman" w:cs="Times New Roman"/>
          <w:sz w:val="28"/>
          <w:szCs w:val="28"/>
          <w:lang w:val="vi-VN"/>
        </w:rPr>
        <w:t xml:space="preserve">- </w:t>
      </w:r>
      <w:r w:rsidR="00E17DB7" w:rsidRPr="008354C2">
        <w:rPr>
          <w:rFonts w:ascii="Times New Roman" w:hAnsi="Times New Roman" w:cs="Times New Roman"/>
          <w:sz w:val="28"/>
          <w:szCs w:val="28"/>
          <w:lang w:val="vi-VN"/>
        </w:rPr>
        <w:t>Điều 146-3:</w:t>
      </w:r>
      <w:r w:rsidR="00E17DB7" w:rsidRPr="008354C2">
        <w:rPr>
          <w:rFonts w:ascii="Times New Roman" w:hAnsi="Times New Roman" w:cs="Times New Roman"/>
          <w:b/>
          <w:sz w:val="28"/>
          <w:szCs w:val="28"/>
          <w:lang w:val="vi-VN"/>
        </w:rPr>
        <w:t xml:space="preserve"> </w:t>
      </w:r>
    </w:p>
    <w:p w:rsidR="00751773" w:rsidRPr="008354C2" w:rsidRDefault="00683048"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Các khoản cho vay của doanh nghiệp bảo hiểm được giới hạn đối với các khoản sau:</w:t>
      </w:r>
      <w:r w:rsidR="00E17DB7" w:rsidRPr="008354C2">
        <w:rPr>
          <w:rFonts w:ascii="Times New Roman" w:hAnsi="Times New Roman" w:cs="Times New Roman"/>
          <w:i/>
          <w:sz w:val="28"/>
          <w:szCs w:val="28"/>
          <w:lang w:val="vi-VN"/>
        </w:rPr>
        <w:tab/>
      </w:r>
    </w:p>
    <w:p w:rsidR="00E17DB7" w:rsidRPr="008354C2" w:rsidRDefault="00E17DB7" w:rsidP="00751773">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Các khoản cho vay được ngân hàng bảo lãnh hoặc tổ chức bảo lãnh tín dụng công nhận bởi cơ quan có thẩm quyền.</w:t>
      </w:r>
    </w:p>
    <w:p w:rsidR="00E17DB7" w:rsidRPr="008354C2" w:rsidRDefault="00E17DB7" w:rsidP="00751773">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Các khoản cho vay được bảo đảm bằng tài sản cá nhân hoặc bất động sản.</w:t>
      </w:r>
    </w:p>
    <w:p w:rsidR="00E17DB7" w:rsidRPr="008354C2" w:rsidRDefault="00E17DB7" w:rsidP="00751773">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Các khoản cho vay được bảo đảm bằng chứng khoán đủ tiêu chuẩn theo quy định tại Điều 146-1.</w:t>
      </w:r>
    </w:p>
    <w:p w:rsidR="00E17DB7" w:rsidRPr="008354C2" w:rsidRDefault="00E17DB7" w:rsidP="00751773">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Đối với doanh nghiệp bảo hiểm nhân thọ, khoản vay được bảo đảm bằng chính sách bảo hiểm nhân thọ do doanh nghiệp bảo hiểm nhân thọ nói trên phát hành.</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Đối với các khoản vay theo các khoản từ 1 đến 3 của khoản trên, số tiền vay cho mỗi người vay không được vượt quá 5% quỹ của doanh nghiệp bảo hiểm và tổng số tiền vay không được vượt quá 35% quỹ của doanh nghiệp bảo hiểm.</w:t>
      </w:r>
    </w:p>
    <w:p w:rsidR="00E17DB7" w:rsidRPr="008354C2" w:rsidRDefault="00E17DB7" w:rsidP="00751773">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Trường hợp doanh nghiệp bảo hiểm cung cấp khoản vay được bảo đảm theo khoản 1, phụ đoạn 1, 2 hoặc 3 cho một trong những người chịu trách nhiệm, nhân viên, cổ đông lớn hoặc người có mối quan hệ với một trong những người chịu trách nhiệm hoặc với người lao động chịu trách nhiệm quản lý khoản vay, khoản vay được bảo đảm đầy đủ và điều kiện không được tốt hơn so với các khoản vay được mở rộng cho các tổ chức khác cùng loại. Khoản vay bằng hoặc nhiều hơn số tiền đô la được cơ quan có thẩm quyền quy định cũng sẽ được ba phần tư số giám đốc có mặt tại cuộc họp Hội đồng quản trị có ít nhất (tối thiếu cuộc họp phải có mặt hai phần ba giám đốc) chấp thuận. Cơ quan có thẩm quyền đặt ra các quy định về việc xác định các bên liên quan, giới hạn cho vay và số dư nợ tổng hợp và các vấn đề tuân thủ khác.</w:t>
      </w:r>
    </w:p>
    <w:p w:rsidR="00751773"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Tổng số tiền (i) đầu tư của doanh nghiệp bảo hiểm vào cổ phiếu doanh nghiệp và trái phiếu doanh nghiệp của một công ty cụ thể theo Điều 146-1, khoản 1, các phụ đoạn 3 và 4 và (ii) các khoản vay được thực hiện theo khoản 1, phụ đoạn 3 được bảo đảm bằng cổ phiếu của công ty và trái phiếu doanh nghiệp do cùng một công ty phát hành, không vượt quá 10% quỹ của doanh nghiệp bảo hiểm và 10% vốn góp của công ty phát hành cổ phiếu và trái phiếu doanh nghiệp.</w:t>
      </w:r>
      <w:r w:rsidR="00683048" w:rsidRPr="008354C2">
        <w:rPr>
          <w:rFonts w:ascii="Times New Roman" w:hAnsi="Times New Roman" w:cs="Times New Roman"/>
          <w:i/>
          <w:sz w:val="28"/>
          <w:szCs w:val="28"/>
          <w:lang w:val="vi-VN"/>
        </w:rPr>
        <w:t>”</w:t>
      </w:r>
      <w:r w:rsidRPr="008354C2">
        <w:rPr>
          <w:rFonts w:ascii="Times New Roman" w:hAnsi="Times New Roman" w:cs="Times New Roman"/>
          <w:i/>
          <w:sz w:val="28"/>
          <w:szCs w:val="28"/>
          <w:lang w:val="vi-VN"/>
        </w:rPr>
        <w:tab/>
      </w:r>
    </w:p>
    <w:p w:rsidR="00683048" w:rsidRPr="008354C2" w:rsidRDefault="00E17DB7" w:rsidP="00D47A29">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146-5:</w:t>
      </w:r>
      <w:r w:rsidRPr="008354C2">
        <w:rPr>
          <w:rFonts w:ascii="Times New Roman" w:hAnsi="Times New Roman" w:cs="Times New Roman"/>
          <w:b/>
          <w:sz w:val="28"/>
          <w:szCs w:val="28"/>
          <w:lang w:val="vi-VN"/>
        </w:rPr>
        <w:t xml:space="preserve"> </w:t>
      </w:r>
    </w:p>
    <w:p w:rsidR="00E17DB7" w:rsidRPr="008354C2" w:rsidRDefault="00F913CD"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Đơn đệ trình được gửi cho cơ quan Nhà nước có thẩm quyền, phê duyệt việc phân bổ quỹ doanh nghiệp bảo hiểm cho các dự án đặc biệt và đầu tư vào các công trình công ích, doanh nghiệp phúc lợi xã hội. Đối với đơn xin phê duyệt, cơ quan có thẩm quyền đặt ra các quy định về các tài liệu, quy trình, phạm vi và giới hạn bắt buộc khi phân bổ và đầu tư và các vấn đề tuân thủ khác.</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Khi các quỹ được đề cập trong đoạn trên được phân bổ cho đầu tư vào cổ phiếu doanh nghiệp, các điều kiện và tỷ lệ phần trăm liên quan sẽ không bị hạn chế quy định tại Điều 146-1, khoản 1, phụ đoạn 3.</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Trong trường hợp các quỹ được đề cập tại khoản 1, các quy định tại Điều 146-1, các khoản 3 và 4 sẽ áp dụng các sửa đổi thích hợp.</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Phân bổ quỹ doanh nghiệp bảo hiểm để đầu tư vào các tiện ích công cộng đáp ứng các yêu cầu sau đây không phải tuân theo các hạn chế được quy định trong đoạn trên:</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Trường hợp doanh nghiệp bảo hiểm hoặc đại diện của doanh nghiệp bảo hiểm là giám đốc hoặc giám sát của công ty đầu tư thì số lượng giám đốc hoặc giám sát do doanh nghiệp bảo hiểm chỉ định không quá một phần ba tổng số giám đốc hoặc giám sát của công ty đầu tư.</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Doanh nghiệp bảo hiểm không được chuyển nhượng bất kỳ người nào làm người quản lý của công ty đầu tư.</w:t>
      </w:r>
      <w:r w:rsidR="00F913CD" w:rsidRPr="008354C2">
        <w:rPr>
          <w:rFonts w:ascii="Times New Roman" w:hAnsi="Times New Roman" w:cs="Times New Roman"/>
          <w:i/>
          <w:sz w:val="28"/>
          <w:szCs w:val="28"/>
          <w:lang w:val="vi-VN"/>
        </w:rPr>
        <w:t>”</w:t>
      </w:r>
    </w:p>
    <w:p w:rsidR="00F913CD" w:rsidRPr="008354C2" w:rsidRDefault="00E17DB7" w:rsidP="00D47A29">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Điều 146-6: </w:t>
      </w:r>
    </w:p>
    <w:p w:rsidR="00E17DB7" w:rsidRPr="008354C2" w:rsidRDefault="00F913CD"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Khi vốn chủ sở hữu của doanh nghiệp bảo hiểm vượt quá mức vốn tối thiểu hoặc quỹ tối thiểu quỹ định tại Điều 139, doanh nghiệp đó có thể, đầu tư vào cổ phần được phát hành bởi doanh nghiệp có liên quan đến bảo hiểm mà không phải tuân thủ Điều 146-1, khoản 1, phụ đoạn 3 hoặc khoản 3 của điều trên với sự đồng ý của cơ quan có thẩm quyền. Tổng số tiền đô la đầu tư như vậy không được vượt quá vốn của chủ sở hữu của doanh nghiệp bảo hiểm.</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Trong trường hợp doanh nghiệp bảo hiểm thực hiện khoản đầu tư phù hợp với các quy định trong đoạn trước và doanh nghiệp có mối quan hệ kiểm soát hoặc phụ thuộc với công ty đầu tư, tổng số tiền đầu tư không vượt quá 40% vốn chủ sở hữu của doanh nghiệp bảo hiểm.</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Liên quan đến khoản đầu tư của một doanh nghiệp bảo hiểm vào một doanh nghiệp liên quan đến bảo hiểm thực hiện theo các điều khoản của khoản 1, cơ quan có thẩm quyền sẽ mô tả các quy định xác định phạm vi của mối quan hệ kiểm soát hoặc phụ thuộc, phương pháp báo cáo đầu tư và các vấn đề tuân thủ khác.</w:t>
      </w:r>
      <w:r w:rsidR="00F913CD" w:rsidRPr="008354C2">
        <w:rPr>
          <w:rFonts w:ascii="Times New Roman" w:hAnsi="Times New Roman" w:cs="Times New Roman"/>
          <w:i/>
          <w:sz w:val="28"/>
          <w:szCs w:val="28"/>
          <w:lang w:val="vi-VN"/>
        </w:rPr>
        <w:t>”</w:t>
      </w:r>
    </w:p>
    <w:p w:rsidR="00F913CD" w:rsidRPr="008354C2" w:rsidRDefault="00E17DB7" w:rsidP="00D47A29">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Điều 146-7: </w:t>
      </w:r>
    </w:p>
    <w:p w:rsidR="00E17DB7" w:rsidRPr="008354C2" w:rsidRDefault="00F913CD"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Cơ quan có thẩm quyền có thể hạn chế khả năng của doanh nghiệp bảo hiểm cho vay hoặc tham gia vào các giao dịch khác với một bên riêng lẻ, một bên liên quan hoặc một doanh nghiệp riêng lẻ có liên quan. Cơ quan có thẩm quyền đặt ra các quy định để thiết lập các giới hạn đó, xác định phạm vi "các giao dịch khác" và đặt ra các vấn đề tuân thủ khác.</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Thuật ngữ "một bên riêng lẻ" trong đoạn trên có nghĩa là một thể nhân hoặc một pháp nhân duy nhất. Phạm vi của "một bên riêng lẻ có liên quan" bao gồm người chính, vợ/chồng, người thân ruột thịt của họ trong vòng hai độ thân nhân, và bất kỳ doanh nghiệp nào mà người chính hoặc vợ/chồng của họ là người chịu trách nhiệm. Phạm vi "một doanh nghiệp liên quan riêng lẻ" sẽ được điều chỉnh bởi các Điều 369-1 đến 369-3, Điều 369-9 và Điều 369-11 của Luật Doanh nghiệp.</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Cơ quan có thẩm quyền có thể hạn chế khả năng của doanh nghiệp bảo hiểm tham gia vào các giao dịch không vay tiền với một bên quan tâm. Cơ quan có thẩm quyền đặt ra các quy định về phạm vi của các bên liên quan và các giao dịch được quy định, các thủ tục để thông qua các nghị quyết, giới hạn về quy mô giao dịch và các vấn đề tuân thủ khác.</w:t>
      </w:r>
      <w:r w:rsidR="00F913CD" w:rsidRPr="008354C2">
        <w:rPr>
          <w:rFonts w:ascii="Times New Roman" w:hAnsi="Times New Roman" w:cs="Times New Roman"/>
          <w:i/>
          <w:sz w:val="28"/>
          <w:szCs w:val="28"/>
          <w:lang w:val="vi-VN"/>
        </w:rPr>
        <w:t>”</w:t>
      </w:r>
    </w:p>
    <w:p w:rsidR="00181617" w:rsidRPr="008354C2" w:rsidRDefault="00E17DB7" w:rsidP="00D47A29">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Điều 146-8: </w:t>
      </w:r>
    </w:p>
    <w:p w:rsidR="00E17DB7" w:rsidRPr="008354C2" w:rsidRDefault="0018161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Đối với bất kỳ người nhận khoản vay tiềm năng nào được liệt kê tại Điều 146-3, khoản 3 áp dụng dưới tên của người khác cho doanh nghiệp bảo hiểm vay tiền, thì áp dụng quy định tại Điều 146-3, khoản 3.</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Nếu số tiền thu được từ khoản vay của doanh nghiệp bảo hiểm được sử dụng bởi một người sử dụng tên của người khác, hoặc tiền được chuyển cho quyền sở hữu của người đó bằng tên của người khác thì được cho là khoản vay từ doanh nghiệp bảo hiểm bởi người nộp đơn ghi tên của người khác như được đề cập trong đoạn trên.</w:t>
      </w:r>
      <w:r w:rsidR="00181617" w:rsidRPr="008354C2">
        <w:rPr>
          <w:rFonts w:ascii="Times New Roman" w:hAnsi="Times New Roman" w:cs="Times New Roman"/>
          <w:i/>
          <w:sz w:val="28"/>
          <w:szCs w:val="28"/>
          <w:lang w:val="vi-VN"/>
        </w:rPr>
        <w:t>”</w:t>
      </w:r>
    </w:p>
    <w:p w:rsidR="003912D3" w:rsidRPr="008354C2" w:rsidRDefault="00E17DB7" w:rsidP="00D47A29">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Điều 146-9: </w:t>
      </w:r>
    </w:p>
    <w:p w:rsidR="00E17DB7" w:rsidRPr="008354C2" w:rsidRDefault="003912D3"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17DB7" w:rsidRPr="008354C2">
        <w:rPr>
          <w:rFonts w:ascii="Times New Roman" w:hAnsi="Times New Roman" w:cs="Times New Roman"/>
          <w:i/>
          <w:sz w:val="28"/>
          <w:szCs w:val="28"/>
          <w:lang w:val="vi-VN"/>
        </w:rPr>
        <w:t>Khi doanh nghiệp bảo hiểm thực hiện các quyền của cổ đông đối với chứng khoán mà họ nắm giữ, họ không được chuyển nhượng quyền hoặc chuyển giao quyền lợi và không làm suy yếu quyền lợi của chủ hợp đồng bảo hiểm, người được bảo hiểm hoặc người thụ hưởng theo phương thức ủy thác, ủy quyền hoặc hợp đồng hoặc thỏa thuận được ký kết với công ty đang được đầu tư vào hoặc bên thứ ba, ủy quyền hoặc khác.</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Trước khi tham dự một cuộc họp cổ đông của công ty được đầu tư, doanh nghiệp bảo hiểm phải chuẩn bị giải thích cách thức đánh giá và phân tích việc thực hiện quyền biểu quyết và sau mỗi cuộc họp cổ đông phải trình Hội đồng quản trị biên bản thực hiện quyền biểu quyết.</w:t>
      </w:r>
    </w:p>
    <w:p w:rsidR="00E17DB7" w:rsidRPr="008354C2" w:rsidRDefault="00E17DB7" w:rsidP="00D47A29">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Doanh nghiệp bảo hiểm và bất kỳ công ty cấp dưới nào của họ có thể không đóng vai trò như luật sư ủy quyền cho công ty được đầu tư hoặc ủy quyền cho một bên khác làm luật sư cho công ty được đầu tư.</w:t>
      </w:r>
      <w:r w:rsidR="003912D3" w:rsidRPr="008354C2">
        <w:rPr>
          <w:rFonts w:ascii="Times New Roman" w:hAnsi="Times New Roman" w:cs="Times New Roman"/>
          <w:i/>
          <w:sz w:val="28"/>
          <w:szCs w:val="28"/>
          <w:lang w:val="vi-VN"/>
        </w:rPr>
        <w:t>”</w:t>
      </w:r>
    </w:p>
    <w:p w:rsidR="00E17DB7" w:rsidRPr="008354C2" w:rsidRDefault="00D26F70" w:rsidP="00D26F70">
      <w:pPr>
        <w:tabs>
          <w:tab w:val="center" w:pos="0"/>
        </w:tabs>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1.5.4. Hàn Quốc</w:t>
      </w:r>
    </w:p>
    <w:p w:rsidR="00D26F70" w:rsidRPr="008354C2" w:rsidRDefault="00D10D36" w:rsidP="00D26F70">
      <w:pPr>
        <w:tabs>
          <w:tab w:val="center" w:pos="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D26F70" w:rsidRPr="008354C2">
        <w:rPr>
          <w:rFonts w:ascii="Times New Roman" w:hAnsi="Times New Roman" w:cs="Times New Roman"/>
          <w:sz w:val="28"/>
          <w:szCs w:val="28"/>
          <w:lang w:val="vi-VN"/>
        </w:rPr>
        <w:t>Điều 115 Luật bảo hiểm Hàn Quốc (Nắm giữ các công ty con)</w:t>
      </w:r>
    </w:p>
    <w:p w:rsidR="00D26F70" w:rsidRPr="008354C2" w:rsidRDefault="003912D3" w:rsidP="00D26F70">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D26F70" w:rsidRPr="008354C2">
        <w:rPr>
          <w:rFonts w:ascii="Times New Roman" w:hAnsi="Times New Roman" w:cs="Times New Roman"/>
          <w:i/>
          <w:sz w:val="28"/>
          <w:szCs w:val="28"/>
          <w:lang w:val="vi-VN"/>
        </w:rPr>
        <w:t xml:space="preserve">(1) Công ty bảo hiểm có thể nắm giữ một công ty như là công ty con sau khi được sự chấp thuận của Ủy ban dịch vụ tài chính: Với điều kiện theo quy định của Nghị định, công ty dự định tổ chức công ty con hoạt động kinh doanh bảo hiểm, </w:t>
      </w:r>
      <w:r w:rsidR="00D10D36" w:rsidRPr="008354C2">
        <w:rPr>
          <w:rFonts w:ascii="Times New Roman" w:hAnsi="Times New Roman" w:cs="Times New Roman"/>
          <w:i/>
          <w:sz w:val="28"/>
          <w:szCs w:val="28"/>
          <w:lang w:val="vi-VN"/>
        </w:rPr>
        <w:t>công ty</w:t>
      </w:r>
      <w:r w:rsidR="00D26F70" w:rsidRPr="008354C2">
        <w:rPr>
          <w:rFonts w:ascii="Times New Roman" w:hAnsi="Times New Roman" w:cs="Times New Roman"/>
          <w:i/>
          <w:sz w:val="28"/>
          <w:szCs w:val="28"/>
          <w:lang w:val="vi-VN"/>
        </w:rPr>
        <w:t xml:space="preserve"> có thể nộp một báo cáo để được chấp thuận:</w:t>
      </w:r>
    </w:p>
    <w:p w:rsidR="00D26F70" w:rsidRPr="008354C2" w:rsidRDefault="00D26F70" w:rsidP="00D26F70">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Các doanh nghiệp tài chính được điều hành bởi các tổ chức tài chính theo đoạn 1 Điều 2 của Đạo luật về cải thiện cấu trúc ngành tài chính;</w:t>
      </w:r>
    </w:p>
    <w:p w:rsidR="00D26F70" w:rsidRPr="008354C2" w:rsidRDefault="00D26F70" w:rsidP="00D26F70">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Kinh doanh thông tin tín dụng theo Luật bảo vệ và sử dụng thông tin tín dụng (ngoại trừ dịch vụ xếp hạng tín dụng theo đoạn 12 Điều 2 của Luật này);</w:t>
      </w:r>
    </w:p>
    <w:p w:rsidR="00D26F70" w:rsidRPr="008354C2" w:rsidRDefault="00D26F70" w:rsidP="00D26F70">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Quản lý việc duy trì, hủy ngang, thay đổi, khôi phục hiệu lực hợp đồng bảo hiểm;</w:t>
      </w:r>
    </w:p>
    <w:p w:rsidR="00D26F70" w:rsidRPr="008354C2" w:rsidRDefault="00D26F70" w:rsidP="00D26F70">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Hoạt động khác không ảnh hưởng đến tính lành mạnh của hoạt động kinh doanh bảo hiểm theo quy định của Nghị định.</w:t>
      </w:r>
    </w:p>
    <w:p w:rsidR="00D26F70" w:rsidRPr="008354C2" w:rsidRDefault="00D26F70"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Bất kể đoạn (1) 1, trường</w:t>
      </w:r>
      <w:r w:rsidR="00D10D36" w:rsidRPr="008354C2">
        <w:rPr>
          <w:rFonts w:ascii="Times New Roman" w:hAnsi="Times New Roman" w:cs="Times New Roman"/>
          <w:i/>
          <w:sz w:val="28"/>
          <w:szCs w:val="28"/>
          <w:lang w:val="vi-VN"/>
        </w:rPr>
        <w:t xml:space="preserve"> hợp</w:t>
      </w:r>
      <w:r w:rsidRPr="008354C2">
        <w:rPr>
          <w:rFonts w:ascii="Times New Roman" w:hAnsi="Times New Roman" w:cs="Times New Roman"/>
          <w:i/>
          <w:sz w:val="28"/>
          <w:szCs w:val="28"/>
          <w:lang w:val="vi-VN"/>
        </w:rPr>
        <w:t xml:space="preserve"> một cổ đông lớn của một công ty bảo hiểm là nhà điều hành kinh doanh phi tài chính theo Điều 16-2 của Đạo luật Ngân hàng, công ty bảo hiểm có thể không nắm giữ như là công ty con, một ngân hàng được thành lập theo Luật Ngân hàng.</w:t>
      </w:r>
    </w:p>
    <w:p w:rsidR="00D26F70" w:rsidRPr="008354C2" w:rsidRDefault="00D26F70"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Đoạn (1) sẽ được áp dụng với những sửa đổi thích hợp trong đó một công ty con được nắm giữ bởi một công ty bảo hiểm dự định thêm hoặc thay đổi kinh doanh của mình.</w:t>
      </w:r>
    </w:p>
    <w:p w:rsidR="00D26F70" w:rsidRPr="008354C2" w:rsidRDefault="00D26F70"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Các vấn đề cần thiết, chẳng hạn như các yêu cầu phê duyệt và các vấn đề khác có liên quan các vấn đề theo đoạn (1) sẽ được quy định bởi Nghị định.</w:t>
      </w:r>
      <w:r w:rsidR="003912D3" w:rsidRPr="008354C2">
        <w:rPr>
          <w:rFonts w:ascii="Times New Roman" w:hAnsi="Times New Roman" w:cs="Times New Roman"/>
          <w:i/>
          <w:sz w:val="28"/>
          <w:szCs w:val="28"/>
          <w:lang w:val="vi-VN"/>
        </w:rPr>
        <w:t>”</w:t>
      </w:r>
    </w:p>
    <w:p w:rsidR="00D26F70" w:rsidRPr="008354C2" w:rsidRDefault="00D10D36" w:rsidP="00D10D36">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D26F70" w:rsidRPr="008354C2">
        <w:rPr>
          <w:rFonts w:ascii="Times New Roman" w:hAnsi="Times New Roman" w:cs="Times New Roman"/>
          <w:sz w:val="28"/>
          <w:szCs w:val="28"/>
          <w:lang w:val="vi-VN"/>
        </w:rPr>
        <w:t>Điều 116 (Hành vi bị nghiêm cấm với các công ty con)</w:t>
      </w:r>
    </w:p>
    <w:p w:rsidR="00D26F70" w:rsidRPr="008354C2" w:rsidRDefault="003912D3"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D26F70" w:rsidRPr="008354C2">
        <w:rPr>
          <w:rFonts w:ascii="Times New Roman" w:hAnsi="Times New Roman" w:cs="Times New Roman"/>
          <w:i/>
          <w:sz w:val="28"/>
          <w:szCs w:val="28"/>
          <w:lang w:val="vi-VN"/>
        </w:rPr>
        <w:t>Công ty bảo hiểm không được phép thực hiện bất kỳ hành vi nào sau đây với công ty con:</w:t>
      </w:r>
    </w:p>
    <w:p w:rsidR="00D26F70" w:rsidRPr="008354C2" w:rsidRDefault="00D26F70"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Chuyển miễn phí bất kỳ tài sản nào, theo quy định của Nghị định, giao dịch hoặc trao đổi bất kỳ tài sản, cấp cho chủ nợ kết luận hợp đồng tái bảo hiểm về các điều khoản rõ ràng bất lợi cho công ty bảo hiểm có liên quan theo các điều khoản thông thường của giao dịch;</w:t>
      </w:r>
    </w:p>
    <w:p w:rsidR="00D26F70" w:rsidRPr="008354C2" w:rsidRDefault="00D26F70"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Cấp tín dụng bằng cách sử dụng các cổ phiếu do công ty con nắm giữ để bảo đảm hoặc cấp tín dụng để hỗ trợ công ty con đầu tư vào bất kỳ công ty nào khác;</w:t>
      </w:r>
    </w:p>
    <w:p w:rsidR="00D26F70" w:rsidRPr="008354C2" w:rsidRDefault="00D26F70"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Cung cấp các khoản vay cho giám đốc điều hành hoặc nhân viên của công ty con (không bao gồm bất kỳ khoản vay theo hợp đồng bảo hiểm, hoặc các khoản vay số tiền nhỏ theo quy định của Ủy ban Dịch vụ Tài chính).</w:t>
      </w:r>
      <w:r w:rsidR="003912D3" w:rsidRPr="008354C2">
        <w:rPr>
          <w:rFonts w:ascii="Times New Roman" w:hAnsi="Times New Roman" w:cs="Times New Roman"/>
          <w:i/>
          <w:sz w:val="28"/>
          <w:szCs w:val="28"/>
          <w:lang w:val="vi-VN"/>
        </w:rPr>
        <w:t>”</w:t>
      </w:r>
    </w:p>
    <w:p w:rsidR="00D26F70" w:rsidRPr="008354C2" w:rsidRDefault="00D10D36" w:rsidP="00D10D36">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D26F70" w:rsidRPr="008354C2">
        <w:rPr>
          <w:rFonts w:ascii="Times New Roman" w:hAnsi="Times New Roman" w:cs="Times New Roman"/>
          <w:sz w:val="28"/>
          <w:szCs w:val="28"/>
          <w:lang w:val="vi-VN"/>
        </w:rPr>
        <w:t>Điều 117 (Nghĩa vụ báo cáo về các công ty con)</w:t>
      </w:r>
    </w:p>
    <w:p w:rsidR="00D26F70" w:rsidRPr="008354C2" w:rsidRDefault="00B1548A"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D26F70" w:rsidRPr="008354C2">
        <w:rPr>
          <w:rFonts w:ascii="Times New Roman" w:hAnsi="Times New Roman" w:cs="Times New Roman"/>
          <w:i/>
          <w:sz w:val="28"/>
          <w:szCs w:val="28"/>
          <w:lang w:val="vi-VN"/>
        </w:rPr>
        <w:t>(1) Trường hợp một công ty bảo hiểm nắm giữ một công ty con, công ty bảo hiểm nộp văn bản về việc thành lập công ty con và các tài liệu theo quy định tại Nghị định cho Ủy ban Dịch vụ Tài chính trong vòng 15 ngày kể từ ngày nắm giữ công ty con.</w:t>
      </w:r>
    </w:p>
    <w:p w:rsidR="00D26F70" w:rsidRPr="008354C2" w:rsidRDefault="00D26F70"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Công ty bảo hiểm phải nộp bảng cân đối kế toán của các công ty con và các tài liệu theo quy định của Nghị định cho Ủy ban Dịch vụ Tài chính trong vòng ba tháng kể từ ngày năm tài chính của các công ty con kết thúc.</w:t>
      </w:r>
    </w:p>
    <w:p w:rsidR="00D26F70" w:rsidRPr="008354C2" w:rsidRDefault="00D26F70" w:rsidP="00D10D36">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Trường hợp các công ty con của một công ty bảo hiểm là những công ty được quy định bởi Nghị định, một phần của các tài liệu được đệ trình theo đoạn (1) và (2) có thể không phải gửi.</w:t>
      </w:r>
      <w:r w:rsidR="00B1548A" w:rsidRPr="008354C2">
        <w:rPr>
          <w:rFonts w:ascii="Times New Roman" w:hAnsi="Times New Roman" w:cs="Times New Roman"/>
          <w:i/>
          <w:sz w:val="28"/>
          <w:szCs w:val="28"/>
          <w:lang w:val="vi-VN"/>
        </w:rPr>
        <w:t>”</w:t>
      </w:r>
    </w:p>
    <w:p w:rsidR="00D26F70" w:rsidRPr="008354C2" w:rsidRDefault="00D10D36" w:rsidP="00D26F70">
      <w:pPr>
        <w:tabs>
          <w:tab w:val="center" w:pos="0"/>
        </w:tabs>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1.6. Quy định về đầu tư ra nước ngoài</w:t>
      </w:r>
    </w:p>
    <w:p w:rsidR="00D10D36" w:rsidRPr="008354C2" w:rsidRDefault="00D10D36" w:rsidP="00D10D36">
      <w:pPr>
        <w:tabs>
          <w:tab w:val="center" w:pos="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Một số nước có quy định riêng cho đầu tư ra nước ngoài: quy định danh mục (Đài Loan), quy định về giới hạn số tiền đầu tư (Singapore). Cụ thể như sau:</w:t>
      </w:r>
    </w:p>
    <w:p w:rsidR="00D10D36" w:rsidRPr="008354C2" w:rsidRDefault="00D10D36" w:rsidP="00D10D36">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 xml:space="preserve">1.6.1. </w:t>
      </w:r>
      <w:r w:rsidR="00E43F09" w:rsidRPr="008354C2">
        <w:rPr>
          <w:rFonts w:ascii="Times New Roman" w:hAnsi="Times New Roman" w:cs="Times New Roman"/>
          <w:b/>
          <w:sz w:val="28"/>
          <w:szCs w:val="28"/>
          <w:lang w:val="vi-VN"/>
        </w:rPr>
        <w:t>Đài Loan</w:t>
      </w:r>
    </w:p>
    <w:p w:rsidR="00B1548A" w:rsidRPr="008354C2" w:rsidRDefault="00E43F09" w:rsidP="008572DD">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sz w:val="28"/>
          <w:szCs w:val="28"/>
          <w:lang w:val="vi-VN"/>
        </w:rPr>
        <w:t>- Điều 146-4 Luật Bảo hiểm Đài Loan</w:t>
      </w:r>
    </w:p>
    <w:p w:rsidR="00E43F09" w:rsidRPr="008354C2" w:rsidRDefault="00B1548A" w:rsidP="008572DD">
      <w:pPr>
        <w:tabs>
          <w:tab w:val="center" w:pos="0"/>
        </w:tabs>
        <w:spacing w:after="120"/>
        <w:jc w:val="both"/>
        <w:rPr>
          <w:rFonts w:ascii="Times New Roman" w:hAnsi="Times New Roman" w:cs="Times New Roman"/>
          <w:b/>
          <w:i/>
          <w:sz w:val="28"/>
          <w:szCs w:val="28"/>
          <w:lang w:val="vi-VN"/>
        </w:rPr>
      </w:pPr>
      <w:r w:rsidRPr="008354C2">
        <w:rPr>
          <w:rFonts w:ascii="Times New Roman" w:hAnsi="Times New Roman" w:cs="Times New Roman"/>
          <w:i/>
          <w:sz w:val="28"/>
          <w:szCs w:val="28"/>
          <w:lang w:val="vi-VN"/>
        </w:rPr>
        <w:t>“</w:t>
      </w:r>
      <w:r w:rsidR="00E43F09" w:rsidRPr="008354C2">
        <w:rPr>
          <w:rFonts w:ascii="Times New Roman" w:hAnsi="Times New Roman" w:cs="Times New Roman"/>
          <w:i/>
          <w:sz w:val="28"/>
          <w:szCs w:val="28"/>
          <w:lang w:val="vi-VN"/>
        </w:rPr>
        <w:t>Đầu tư nước ngoài của quỹ doanh nghiệp bảo hiểm được giới hạn như sau:</w:t>
      </w:r>
    </w:p>
    <w:p w:rsidR="00E43F09" w:rsidRPr="008354C2" w:rsidRDefault="00E43F09" w:rsidP="008572DD">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Tiền gửi ngoại tệ.</w:t>
      </w:r>
    </w:p>
    <w:p w:rsidR="00E43F09" w:rsidRPr="008354C2" w:rsidRDefault="00E43F09" w:rsidP="008572DD">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Chứng khoán nước ngoài.</w:t>
      </w:r>
    </w:p>
    <w:p w:rsidR="00E43F09" w:rsidRPr="008354C2" w:rsidRDefault="00E43F09" w:rsidP="008572DD">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Thành lập hoặc đầu tư vào công ty bảo hiểm, công ty đại lý bảo hiểm, công ty môi giới bảo hiểm, doanh nghiệp bảo hiểm khác được cơ quan có thẩm quyền phê duyệt.</w:t>
      </w:r>
    </w:p>
    <w:p w:rsidR="00E43F09" w:rsidRPr="008354C2" w:rsidRDefault="00E43F09" w:rsidP="008572DD">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Các khoản đầu tư nước ngoài khác như được cơ quan có thẩm quyền phê duyệt.</w:t>
      </w:r>
    </w:p>
    <w:p w:rsidR="00E43F09" w:rsidRPr="008354C2" w:rsidRDefault="00E43F09" w:rsidP="008572DD">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Doanh nghiệp bảo hiểm được áp dụng cho giá trị đầu tư nước ngoài theo quy định tại khoản trên cho các quỹ của mình, được cơ quan có thẩm quyền phê duyệt căn cứ vào tình hình hoạt động của doanh nghiệp bảo hiểm tương ứng. Giá trị không được vượt quá 45% số tiền của mỗi doanh nghiệp bảo hiểm nói trên. Tuy nhiên, những điều sau đây có thể không được bao gồm như một phần của mức trần đầu tư ở nước ngoài:</w:t>
      </w:r>
    </w:p>
    <w:p w:rsidR="00E43F09" w:rsidRPr="008354C2" w:rsidRDefault="00E43F09" w:rsidP="008572DD">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Giá trị sản phẩm bảo hiểm nhân thọ không liên kết đầu tư được phân phối bằng ngoại tệ và không nằm trong phạm vi mức trần đầu tư ở nước ngoài được cơ quan có thẩm quyền phê duyệt trước.</w:t>
      </w:r>
    </w:p>
    <w:p w:rsidR="00E43F09" w:rsidRPr="008354C2" w:rsidRDefault="00E43F09" w:rsidP="008572DD">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Giá trị ngoại tệ được ghi trên giấy chứng nhận niêm yết hoặc trái phiếu nội địa hoặc trái phiếu do doanh nghiệp bảo hiểm đầu tư vào doanh nghiệp bảo hiểm theo quy định của Luật.</w:t>
      </w:r>
    </w:p>
    <w:p w:rsidR="00E43F09" w:rsidRPr="008354C2" w:rsidRDefault="00E43F09" w:rsidP="008572DD">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Giá trị doanh nghiệp có liên quan đến bảo hiểm do doanh nghiệp bảo hiểm thành lập hoặc đầu tư và không thuộc diện đầu tư nước ngoài khi được cấp có thẩm quyền phê duyệt trước.</w:t>
      </w:r>
    </w:p>
    <w:p w:rsidR="00E43F09" w:rsidRPr="008354C2" w:rsidRDefault="00E43F09" w:rsidP="008572DD">
      <w:pPr>
        <w:tabs>
          <w:tab w:val="center" w:pos="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Các khoản đầu tư nước ngoài khác và giá trị của chúng được sự chấp thuận trước của cơ quan có thẩm quyền.</w:t>
      </w:r>
    </w:p>
    <w:p w:rsidR="00E43F09" w:rsidRPr="008354C2" w:rsidRDefault="00E43F09" w:rsidP="008572DD">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Cơ quan có thẩm quyền đặt ra các quy định về quy định đầu tư, giới hạn đầu tư, quy trình đánh giá và các vấn đề tuân thủ khác liên quan đến đầu tư nước ngoài của quỹ doanh nghiệp bảo hiểm.</w:t>
      </w:r>
      <w:r w:rsidR="00B1548A" w:rsidRPr="008354C2">
        <w:rPr>
          <w:rFonts w:ascii="Times New Roman" w:hAnsi="Times New Roman" w:cs="Times New Roman"/>
          <w:i/>
          <w:sz w:val="28"/>
          <w:szCs w:val="28"/>
          <w:lang w:val="vi-VN"/>
        </w:rPr>
        <w:t>”</w:t>
      </w:r>
    </w:p>
    <w:p w:rsidR="00E43F09" w:rsidRPr="008354C2" w:rsidRDefault="008572DD" w:rsidP="008572DD">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 xml:space="preserve">1.6.2. </w:t>
      </w:r>
      <w:r w:rsidR="00E43F09" w:rsidRPr="008354C2">
        <w:rPr>
          <w:rFonts w:ascii="Times New Roman" w:hAnsi="Times New Roman" w:cs="Times New Roman"/>
          <w:b/>
          <w:sz w:val="28"/>
          <w:szCs w:val="28"/>
          <w:lang w:val="vi-VN"/>
        </w:rPr>
        <w:t>Singapore</w:t>
      </w:r>
    </w:p>
    <w:p w:rsidR="008572DD" w:rsidRPr="008354C2" w:rsidRDefault="008572DD" w:rsidP="008572DD">
      <w:pPr>
        <w:tabs>
          <w:tab w:val="left" w:pos="72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Điều </w:t>
      </w:r>
      <w:r w:rsidR="00E43F09" w:rsidRPr="008354C2">
        <w:rPr>
          <w:rFonts w:ascii="Times New Roman" w:hAnsi="Times New Roman" w:cs="Times New Roman"/>
          <w:sz w:val="28"/>
          <w:szCs w:val="28"/>
          <w:lang w:val="vi-VN"/>
        </w:rPr>
        <w:t>21</w:t>
      </w:r>
      <w:r w:rsidRPr="008354C2">
        <w:rPr>
          <w:rFonts w:ascii="Times New Roman" w:hAnsi="Times New Roman" w:cs="Times New Roman"/>
          <w:sz w:val="28"/>
          <w:szCs w:val="28"/>
          <w:lang w:val="vi-VN"/>
        </w:rPr>
        <w:t xml:space="preserve"> Luật Bảo hiểm Singapore</w:t>
      </w:r>
      <w:r w:rsidR="00E43F09" w:rsidRPr="008354C2">
        <w:rPr>
          <w:rFonts w:ascii="Times New Roman" w:hAnsi="Times New Roman" w:cs="Times New Roman"/>
          <w:sz w:val="28"/>
          <w:szCs w:val="28"/>
          <w:lang w:val="vi-VN"/>
        </w:rPr>
        <w:t xml:space="preserve">. </w:t>
      </w:r>
    </w:p>
    <w:p w:rsidR="00E43F09" w:rsidRPr="008354C2" w:rsidRDefault="00B1548A" w:rsidP="008572DD">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43F09" w:rsidRPr="008354C2">
        <w:rPr>
          <w:rFonts w:ascii="Times New Roman" w:hAnsi="Times New Roman" w:cs="Times New Roman"/>
          <w:i/>
          <w:sz w:val="28"/>
          <w:szCs w:val="28"/>
          <w:lang w:val="vi-VN"/>
        </w:rPr>
        <w:t>(1) Cơ quan quản lý có thể, bất cứ lúc nào, bằng văn bản thông báo cho bất kỳ công ty bảo hiểm nào, chỉ đạo công ty bảo hiểm hoặc nhóm công ty bảo hiểm, tùy từng trường hợp, mỗi công ty bảo hiểm duy trì và giữ số lượng hoặc số lượng tài sản tối thiểu ở Singapore và có thể được nêu rõ trong thông báo nhằm mục đích đáp ứng các trách nhiệm của mình.</w:t>
      </w:r>
    </w:p>
    <w:p w:rsidR="00E43F09" w:rsidRPr="008354C2" w:rsidRDefault="00E43F09" w:rsidP="008572DD">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Không ảnh hưởng đến tính tổng quát của tiểu mục (1), trong một tiểu mục củ</w:t>
      </w:r>
      <w:r w:rsidR="008572DD" w:rsidRPr="008354C2">
        <w:rPr>
          <w:rFonts w:ascii="Times New Roman" w:hAnsi="Times New Roman" w:cs="Times New Roman"/>
          <w:i/>
          <w:sz w:val="28"/>
          <w:szCs w:val="28"/>
          <w:lang w:val="vi-VN"/>
        </w:rPr>
        <w:t xml:space="preserve">a thông báo, Cơ quan </w:t>
      </w:r>
      <w:r w:rsidRPr="008354C2">
        <w:rPr>
          <w:rFonts w:ascii="Times New Roman" w:hAnsi="Times New Roman" w:cs="Times New Roman"/>
          <w:i/>
          <w:sz w:val="28"/>
          <w:szCs w:val="28"/>
          <w:lang w:val="vi-VN"/>
        </w:rPr>
        <w:t>quản lý có thể nêu rõ:</w:t>
      </w:r>
    </w:p>
    <w:p w:rsidR="00E43F09" w:rsidRPr="008354C2" w:rsidRDefault="00E43F09" w:rsidP="008572DD">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các loại nợ phải trả liên quan đến tài sản phải được duy trì và nắm giữ tại Singapore;</w:t>
      </w:r>
    </w:p>
    <w:p w:rsidR="00E43F09" w:rsidRPr="008354C2" w:rsidRDefault="00E43F09" w:rsidP="008572DD">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các loại tài sản được coi là tài sản được duy trì và giữ ở Singapore, và số lượng hoặc số tiền tối thiểu đối với mỗi tài sản cho mục đích của bất kỳ yêu cầu nào của Cơ quan quản lý theo tiểu mục đó; và</w:t>
      </w:r>
    </w:p>
    <w:p w:rsidR="00E43F09" w:rsidRPr="008354C2" w:rsidRDefault="00E43F09" w:rsidP="008572DD">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 phương pháp định giá tài sản được duy trì và lưu giữ tại Singapore, bao gồm bất kỳ khoản khấu trừ nào được thực hiện đối với tài sản đó.</w:t>
      </w:r>
    </w:p>
    <w:p w:rsidR="00E43F09" w:rsidRPr="008354C2" w:rsidRDefault="00E43F09" w:rsidP="008572DD">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Khi Cơ quan có thẩm quyền đưa ra thông báo theo tiểu mục (1) cho một nhóm các công ty bảo hiểm được cấp phép, Cơ quan có thể chỉ đạo các công ty bảo hiểm khác nhau trong công ty bảo hiểm duy trì và nắm giữ các lượng tài sản tối thiểu khác nhau ở Singapore, liên quan đến tính lành mạnh của từng công ty bảo hiểm, hồ sơ rủi ro của từng công ty bảo hiểm và các yếu tố khác mà Cơ quan có thẩm quyền có thể xem xét có liên quan.</w:t>
      </w:r>
    </w:p>
    <w:p w:rsidR="00E43F09" w:rsidRPr="008354C2" w:rsidRDefault="00E43F09" w:rsidP="008572DD">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Bất kỳ công ty bảo hiểm nào không tuân theo bất kỳ chỉ đạo nào của Cơ quan có thẩm quyền theo tiểu mục (1) sẽ bị phải chịu mức phạt tiền không vượt quá 250.000 đô la và, trong trường hợp tiếp tục vi phạm, một khoản tiền phạt nữa không vượt quá 25.000 đô la cho mỗi ngày hoặc một phần của ngày mà hành vi phạm tội tiếp tục sau khi bị kết án.</w:t>
      </w:r>
      <w:r w:rsidR="00B1548A" w:rsidRPr="008354C2">
        <w:rPr>
          <w:rFonts w:ascii="Times New Roman" w:hAnsi="Times New Roman" w:cs="Times New Roman"/>
          <w:i/>
          <w:sz w:val="28"/>
          <w:szCs w:val="28"/>
          <w:lang w:val="vi-VN"/>
        </w:rPr>
        <w:t>”</w:t>
      </w:r>
    </w:p>
    <w:p w:rsidR="008572DD" w:rsidRPr="008354C2" w:rsidRDefault="008572DD" w:rsidP="008572DD">
      <w:pPr>
        <w:tabs>
          <w:tab w:val="left" w:pos="72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1.6.3. Malaysia</w:t>
      </w:r>
    </w:p>
    <w:p w:rsidR="00E43F09" w:rsidRPr="008354C2" w:rsidRDefault="00E43F09" w:rsidP="008572DD">
      <w:pPr>
        <w:tabs>
          <w:tab w:val="left" w:pos="720"/>
        </w:tabs>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Quy định về thành lập công ty tại nước ngoài của Luật dịch vụ tài chính Malaysia</w:t>
      </w:r>
      <w:r w:rsidR="008572DD" w:rsidRPr="008354C2">
        <w:rPr>
          <w:rFonts w:ascii="Times New Roman" w:hAnsi="Times New Roman" w:cs="Times New Roman"/>
          <w:sz w:val="28"/>
          <w:szCs w:val="28"/>
          <w:lang w:val="vi-VN"/>
        </w:rPr>
        <w:t>:</w:t>
      </w:r>
    </w:p>
    <w:p w:rsidR="00E43F09" w:rsidRPr="008354C2" w:rsidRDefault="00E43F09" w:rsidP="008572DD">
      <w:pPr>
        <w:tabs>
          <w:tab w:val="left" w:pos="720"/>
        </w:tabs>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Thành lập hoặc sở hữu công ty con và sở hữu hoặc nắm giữ lợi ích đáng kể trong công ty </w:t>
      </w:r>
    </w:p>
    <w:p w:rsidR="00E43F09" w:rsidRPr="008354C2" w:rsidRDefault="00D958C5" w:rsidP="008572DD">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8572DD" w:rsidRPr="008354C2">
        <w:rPr>
          <w:rFonts w:ascii="Times New Roman" w:hAnsi="Times New Roman" w:cs="Times New Roman"/>
          <w:i/>
          <w:sz w:val="28"/>
          <w:szCs w:val="28"/>
          <w:lang w:val="vi-VN"/>
        </w:rPr>
        <w:t xml:space="preserve">31. </w:t>
      </w:r>
      <w:r w:rsidR="00E43F09" w:rsidRPr="008354C2">
        <w:rPr>
          <w:rFonts w:ascii="Times New Roman" w:hAnsi="Times New Roman" w:cs="Times New Roman"/>
          <w:i/>
          <w:sz w:val="28"/>
          <w:szCs w:val="28"/>
          <w:lang w:val="vi-VN"/>
        </w:rPr>
        <w:t xml:space="preserve">(1) Không có </w:t>
      </w:r>
      <w:r w:rsidR="008572DD" w:rsidRPr="008354C2">
        <w:rPr>
          <w:rFonts w:ascii="Times New Roman" w:hAnsi="Times New Roman" w:cs="Times New Roman"/>
          <w:i/>
          <w:sz w:val="28"/>
          <w:szCs w:val="28"/>
          <w:lang w:val="vi-VN"/>
        </w:rPr>
        <w:t>doanh nghiệp</w:t>
      </w:r>
      <w:r w:rsidR="00E43F09" w:rsidRPr="008354C2">
        <w:rPr>
          <w:rFonts w:ascii="Times New Roman" w:hAnsi="Times New Roman" w:cs="Times New Roman"/>
          <w:i/>
          <w:sz w:val="28"/>
          <w:szCs w:val="28"/>
          <w:lang w:val="vi-VN"/>
        </w:rPr>
        <w:t xml:space="preserve"> được cấp phép nào đượ</w:t>
      </w:r>
      <w:r w:rsidR="008572DD" w:rsidRPr="008354C2">
        <w:rPr>
          <w:rFonts w:ascii="Times New Roman" w:hAnsi="Times New Roman" w:cs="Times New Roman"/>
          <w:i/>
          <w:sz w:val="28"/>
          <w:szCs w:val="28"/>
          <w:lang w:val="vi-VN"/>
        </w:rPr>
        <w:t>c:</w:t>
      </w:r>
    </w:p>
    <w:p w:rsidR="00E43F09" w:rsidRPr="008354C2" w:rsidRDefault="008572DD" w:rsidP="008572DD">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(a) </w:t>
      </w:r>
      <w:r w:rsidR="00E43F09" w:rsidRPr="008354C2">
        <w:rPr>
          <w:rFonts w:ascii="Times New Roman" w:hAnsi="Times New Roman" w:cs="Times New Roman"/>
          <w:i/>
          <w:sz w:val="28"/>
          <w:szCs w:val="28"/>
          <w:lang w:val="vi-VN"/>
        </w:rPr>
        <w:t>thành lập hoặc sở hữu công ty con trong hoặc ngoài lãnh thổ Malaysia hoặc</w:t>
      </w:r>
    </w:p>
    <w:p w:rsidR="00E43F09" w:rsidRPr="008354C2" w:rsidRDefault="008572DD" w:rsidP="008572DD">
      <w:pPr>
        <w:tabs>
          <w:tab w:val="left" w:pos="720"/>
        </w:tabs>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(b) </w:t>
      </w:r>
      <w:r w:rsidR="00E43F09" w:rsidRPr="008354C2">
        <w:rPr>
          <w:rFonts w:ascii="Times New Roman" w:hAnsi="Times New Roman" w:cs="Times New Roman"/>
          <w:i/>
          <w:sz w:val="28"/>
          <w:szCs w:val="28"/>
          <w:lang w:val="vi-VN"/>
        </w:rPr>
        <w:t>sở hữu hoặc nắm giữ lợi ích quan trọ</w:t>
      </w:r>
      <w:r w:rsidRPr="008354C2">
        <w:rPr>
          <w:rFonts w:ascii="Times New Roman" w:hAnsi="Times New Roman" w:cs="Times New Roman"/>
          <w:i/>
          <w:sz w:val="28"/>
          <w:szCs w:val="28"/>
          <w:lang w:val="vi-VN"/>
        </w:rPr>
        <w:t>ng t</w:t>
      </w:r>
      <w:r w:rsidR="00E43F09" w:rsidRPr="008354C2">
        <w:rPr>
          <w:rFonts w:ascii="Times New Roman" w:hAnsi="Times New Roman" w:cs="Times New Roman"/>
          <w:i/>
          <w:sz w:val="28"/>
          <w:szCs w:val="28"/>
          <w:lang w:val="vi-VN"/>
        </w:rPr>
        <w:t>rong công ty, mà không có sự chấp thuận trước bằng văn bản của Ngân hàng.</w:t>
      </w:r>
    </w:p>
    <w:p w:rsidR="00E43F09" w:rsidRPr="008354C2" w:rsidRDefault="00E43F09" w:rsidP="008572DD">
      <w:pPr>
        <w:tabs>
          <w:tab w:val="left" w:pos="720"/>
        </w:tabs>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Ngân hàng có thể nêu rõ những gì cấu thành “lợi ích quan trọ</w:t>
      </w:r>
      <w:r w:rsidR="008572DD" w:rsidRPr="008354C2">
        <w:rPr>
          <w:rFonts w:ascii="Times New Roman" w:hAnsi="Times New Roman" w:cs="Times New Roman"/>
          <w:i/>
          <w:sz w:val="28"/>
          <w:szCs w:val="28"/>
          <w:lang w:val="vi-VN"/>
        </w:rPr>
        <w:t xml:space="preserve">ng” </w:t>
      </w:r>
      <w:r w:rsidRPr="008354C2">
        <w:rPr>
          <w:rFonts w:ascii="Times New Roman" w:hAnsi="Times New Roman" w:cs="Times New Roman"/>
          <w:i/>
          <w:sz w:val="28"/>
          <w:szCs w:val="28"/>
          <w:lang w:val="vi-VN"/>
        </w:rPr>
        <w:t>đối với khoản (1)</w:t>
      </w:r>
      <w:r w:rsidR="008572DD" w:rsidRPr="008354C2">
        <w:rPr>
          <w:rFonts w:ascii="Times New Roman" w:hAnsi="Times New Roman" w:cs="Times New Roman"/>
          <w:i/>
          <w:sz w:val="28"/>
          <w:szCs w:val="28"/>
          <w:lang w:val="vi-VN"/>
        </w:rPr>
        <w:t xml:space="preserve"> </w:t>
      </w:r>
      <w:r w:rsidRPr="008354C2">
        <w:rPr>
          <w:rFonts w:ascii="Times New Roman" w:hAnsi="Times New Roman" w:cs="Times New Roman"/>
          <w:i/>
          <w:sz w:val="28"/>
          <w:szCs w:val="28"/>
          <w:lang w:val="vi-VN"/>
        </w:rPr>
        <w:t>(b).</w:t>
      </w:r>
      <w:r w:rsidR="00D958C5" w:rsidRPr="008354C2">
        <w:rPr>
          <w:rFonts w:ascii="Times New Roman" w:hAnsi="Times New Roman" w:cs="Times New Roman"/>
          <w:i/>
          <w:sz w:val="28"/>
          <w:szCs w:val="28"/>
          <w:lang w:val="vi-VN"/>
        </w:rPr>
        <w:t>”</w:t>
      </w:r>
    </w:p>
    <w:p w:rsidR="00D10D36" w:rsidRPr="008354C2" w:rsidRDefault="008572DD" w:rsidP="00D26F70">
      <w:pPr>
        <w:tabs>
          <w:tab w:val="center" w:pos="0"/>
        </w:tabs>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1.7. Quy định về tách nguồn vốn chủ sở hữu và nguồn phí bảo hiểm</w:t>
      </w:r>
    </w:p>
    <w:p w:rsidR="008572DD" w:rsidRPr="008354C2" w:rsidRDefault="008572DD" w:rsidP="008572DD">
      <w:pPr>
        <w:tabs>
          <w:tab w:val="center" w:pos="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Quy định về tách nguồn vốn chủ sở hữu và nguồn phí bảo hiểm tại các nước được thể hiện là yêu cầu quản lý tách biệt về theo dõi các quỹ bảo hiểm khỏi quỹ của doanh nghiệp. Cụ thể như sau:</w:t>
      </w:r>
    </w:p>
    <w:p w:rsidR="008572DD" w:rsidRPr="008354C2" w:rsidRDefault="008572DD" w:rsidP="008572DD">
      <w:pPr>
        <w:tabs>
          <w:tab w:val="center" w:pos="0"/>
        </w:tabs>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 xml:space="preserve">1.7.1. Singapore </w:t>
      </w:r>
    </w:p>
    <w:p w:rsidR="008572DD" w:rsidRPr="008354C2" w:rsidRDefault="008572DD" w:rsidP="008572DD">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Theo quy định tại Luật bảo hiểm của Singapore:</w:t>
      </w:r>
    </w:p>
    <w:p w:rsidR="008572DD" w:rsidRPr="008354C2" w:rsidRDefault="008572DD" w:rsidP="008572DD">
      <w:pPr>
        <w:spacing w:before="120" w:after="120"/>
        <w:jc w:val="both"/>
        <w:rPr>
          <w:rFonts w:ascii="Times New Roman" w:hAnsi="Times New Roman" w:cs="Times New Roman"/>
          <w:i/>
          <w:sz w:val="28"/>
          <w:szCs w:val="28"/>
          <w:lang w:val="vi-VN"/>
        </w:rPr>
      </w:pPr>
      <w:r w:rsidRPr="008354C2">
        <w:rPr>
          <w:rFonts w:ascii="Times New Roman" w:hAnsi="Times New Roman" w:cs="Times New Roman"/>
          <w:sz w:val="28"/>
          <w:szCs w:val="28"/>
          <w:lang w:val="vi-VN"/>
        </w:rPr>
        <w:t>Điề</w:t>
      </w:r>
      <w:r w:rsidR="005F6AA0" w:rsidRPr="008354C2">
        <w:rPr>
          <w:rFonts w:ascii="Times New Roman" w:hAnsi="Times New Roman" w:cs="Times New Roman"/>
          <w:sz w:val="28"/>
          <w:szCs w:val="28"/>
          <w:lang w:val="vi-VN"/>
        </w:rPr>
        <w:t>u 17</w:t>
      </w:r>
      <w:r w:rsidRPr="008354C2">
        <w:rPr>
          <w:rFonts w:ascii="Times New Roman" w:hAnsi="Times New Roman" w:cs="Times New Roman"/>
          <w:sz w:val="28"/>
          <w:szCs w:val="28"/>
          <w:lang w:val="vi-VN"/>
        </w:rPr>
        <w:t>(16:)</w:t>
      </w:r>
      <w:r w:rsidRPr="008354C2">
        <w:rPr>
          <w:rFonts w:ascii="Times New Roman" w:hAnsi="Times New Roman" w:cs="Times New Roman"/>
          <w:i/>
          <w:sz w:val="28"/>
          <w:szCs w:val="28"/>
          <w:lang w:val="vi-VN"/>
        </w:rPr>
        <w:t xml:space="preserve"> </w:t>
      </w:r>
      <w:r w:rsidR="00F959C4" w:rsidRPr="008354C2">
        <w:rPr>
          <w:rFonts w:ascii="Times New Roman" w:hAnsi="Times New Roman" w:cs="Times New Roman"/>
          <w:i/>
          <w:sz w:val="28"/>
          <w:szCs w:val="28"/>
          <w:lang w:val="vi-VN"/>
        </w:rPr>
        <w:t>“</w:t>
      </w:r>
      <w:r w:rsidRPr="008354C2">
        <w:rPr>
          <w:rFonts w:ascii="Times New Roman" w:hAnsi="Times New Roman" w:cs="Times New Roman"/>
          <w:i/>
          <w:sz w:val="28"/>
          <w:szCs w:val="28"/>
          <w:lang w:val="vi-VN"/>
        </w:rPr>
        <w:t>Tài sản của bất kỳ quỹ bảo hiểm nào được thành lập bởi một công ty bảo hiểm theo Luật này sẽ được tách riêng khỏi tất cả các tài sản khác của công ty bảo hiểm.</w:t>
      </w:r>
      <w:r w:rsidR="00F959C4" w:rsidRPr="008354C2">
        <w:rPr>
          <w:rFonts w:ascii="Times New Roman" w:hAnsi="Times New Roman" w:cs="Times New Roman"/>
          <w:i/>
          <w:sz w:val="28"/>
          <w:szCs w:val="28"/>
          <w:lang w:val="vi-VN"/>
        </w:rPr>
        <w:t>”</w:t>
      </w:r>
    </w:p>
    <w:p w:rsidR="008572DD" w:rsidRPr="008354C2" w:rsidRDefault="008572DD" w:rsidP="008572DD">
      <w:pPr>
        <w:tabs>
          <w:tab w:val="center" w:pos="0"/>
        </w:tabs>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1.7.2. Hàn Quốc</w:t>
      </w:r>
    </w:p>
    <w:p w:rsidR="008572DD" w:rsidRPr="008354C2" w:rsidRDefault="008572DD" w:rsidP="008572DD">
      <w:pPr>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Theo quy định tại Luật bảo hiểm Hàn Quốc</w:t>
      </w:r>
    </w:p>
    <w:p w:rsidR="008572DD" w:rsidRPr="008354C2" w:rsidRDefault="008572DD" w:rsidP="008572DD">
      <w:pPr>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Điều 121 (Kế toán riêng về hợp đồng bảo hiểm chia lãi, v.v.)</w:t>
      </w:r>
    </w:p>
    <w:p w:rsidR="008572DD" w:rsidRPr="008354C2" w:rsidRDefault="00F959C4" w:rsidP="008572DD">
      <w:pPr>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8572DD" w:rsidRPr="008354C2">
        <w:rPr>
          <w:rFonts w:ascii="Times New Roman" w:hAnsi="Times New Roman" w:cs="Times New Roman"/>
          <w:i/>
          <w:sz w:val="28"/>
          <w:szCs w:val="28"/>
          <w:lang w:val="vi-VN"/>
        </w:rPr>
        <w:t>(1) Công ty bảo hiểm thực hiện công tác kế toán riêng cho hợp đồng bảo hiểm có tham gia chia lãi tách biệt khỏi các hợp đồng khác (hợp đồng bảo hiểm có tham gia chia lãi là hợp đồng bảo hiểm trong đó bảo hiểm công ty đồng ý phân bổ một phần lợi ích tích lũy từ bảo hiểm hợp đồng với các chủ hợp đồng của nó; sau đây sẽ áp dụng Điều tương tự) theo quy định của Nghị định.</w:t>
      </w:r>
    </w:p>
    <w:p w:rsidR="008572DD" w:rsidRPr="008354C2" w:rsidRDefault="008572DD" w:rsidP="008572DD">
      <w:pPr>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Công ty bảo hiểm có thể chia bảo tức cho các chủ hợp đồng bảo hiể</w:t>
      </w:r>
      <w:r w:rsidR="00941515" w:rsidRPr="008354C2">
        <w:rPr>
          <w:rFonts w:ascii="Times New Roman" w:hAnsi="Times New Roman" w:cs="Times New Roman"/>
          <w:i/>
          <w:sz w:val="28"/>
          <w:szCs w:val="28"/>
          <w:lang w:val="vi-VN"/>
        </w:rPr>
        <w:t xml:space="preserve">m có tham gia chia lãi </w:t>
      </w:r>
      <w:r w:rsidRPr="008354C2">
        <w:rPr>
          <w:rFonts w:ascii="Times New Roman" w:hAnsi="Times New Roman" w:cs="Times New Roman"/>
          <w:i/>
          <w:sz w:val="28"/>
          <w:szCs w:val="28"/>
          <w:lang w:val="vi-VN"/>
        </w:rPr>
        <w:t>theo quy định của Nghị định.</w:t>
      </w:r>
    </w:p>
    <w:p w:rsidR="008572DD" w:rsidRPr="008354C2" w:rsidRDefault="008572DD" w:rsidP="008572DD">
      <w:pPr>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Tiêu chuẩn chia bảo tức cho các chủ hợp đồng bảo hiểm theo đoạn (2) được thiết lập trên cơ sở xem xét lợi ích của các chủ hợp đồng tham gia chia lãi, tình hình lành mạnh tài chính của công ty bảo hiểm và các vấn đề liên quan khác.</w:t>
      </w:r>
      <w:r w:rsidR="00F959C4" w:rsidRPr="008354C2">
        <w:rPr>
          <w:rFonts w:ascii="Times New Roman" w:hAnsi="Times New Roman" w:cs="Times New Roman"/>
          <w:i/>
          <w:sz w:val="28"/>
          <w:szCs w:val="28"/>
          <w:lang w:val="vi-VN"/>
        </w:rPr>
        <w:t>”</w:t>
      </w:r>
    </w:p>
    <w:p w:rsidR="00EB340A" w:rsidRPr="008354C2" w:rsidRDefault="00EB340A" w:rsidP="008572DD">
      <w:pPr>
        <w:tabs>
          <w:tab w:val="center" w:pos="0"/>
        </w:tabs>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1.7.3. Malaysia</w:t>
      </w:r>
    </w:p>
    <w:p w:rsidR="00EB340A" w:rsidRPr="008354C2" w:rsidRDefault="00EB340A" w:rsidP="008572DD">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Theo quy định tại Luật dịch vụ tài chính Malaysia</w:t>
      </w:r>
    </w:p>
    <w:p w:rsidR="008572DD" w:rsidRPr="008354C2" w:rsidRDefault="00EB340A" w:rsidP="008572DD">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Quy định về việc t</w:t>
      </w:r>
      <w:r w:rsidR="008572DD" w:rsidRPr="008354C2">
        <w:rPr>
          <w:rFonts w:ascii="Times New Roman" w:hAnsi="Times New Roman" w:cs="Times New Roman"/>
          <w:sz w:val="28"/>
          <w:szCs w:val="28"/>
          <w:lang w:val="vi-VN"/>
        </w:rPr>
        <w:t xml:space="preserve">hành lập và duy trì các quỹ bảo hiểm </w:t>
      </w:r>
    </w:p>
    <w:p w:rsidR="00EB340A" w:rsidRPr="008354C2" w:rsidRDefault="00EB340A" w:rsidP="008572DD">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Điều 81.</w:t>
      </w:r>
    </w:p>
    <w:p w:rsidR="008572DD" w:rsidRPr="008354C2" w:rsidRDefault="00F959C4"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B340A" w:rsidRPr="008354C2">
        <w:rPr>
          <w:rFonts w:ascii="Times New Roman" w:hAnsi="Times New Roman" w:cs="Times New Roman"/>
          <w:i/>
          <w:sz w:val="28"/>
          <w:szCs w:val="28"/>
          <w:lang w:val="vi-VN"/>
        </w:rPr>
        <w:t>(</w:t>
      </w:r>
      <w:r w:rsidR="008572DD" w:rsidRPr="008354C2">
        <w:rPr>
          <w:rFonts w:ascii="Times New Roman" w:hAnsi="Times New Roman" w:cs="Times New Roman"/>
          <w:i/>
          <w:sz w:val="28"/>
          <w:szCs w:val="28"/>
          <w:lang w:val="vi-VN"/>
        </w:rPr>
        <w:t>1) Công ty bảo hiểm sẽ thành lập và duy trì một hoặc nhiều quỹ bảo hiểm cho mỗi loại hoặc hạng bảo hiếm của mình do Ngân hàng quy định.</w:t>
      </w:r>
    </w:p>
    <w:p w:rsidR="008572DD" w:rsidRPr="008354C2" w:rsidRDefault="00EB340A"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(2) </w:t>
      </w:r>
      <w:r w:rsidR="008572DD" w:rsidRPr="008354C2">
        <w:rPr>
          <w:rFonts w:ascii="Times New Roman" w:hAnsi="Times New Roman" w:cs="Times New Roman"/>
          <w:i/>
          <w:sz w:val="28"/>
          <w:szCs w:val="28"/>
          <w:lang w:val="vi-VN"/>
        </w:rPr>
        <w:t>Không xét đến tiểu mục (1), công ty bảo hiểm sẽ thành lập và duy trì một quỹ riêng cho hoạt động bảo hiểm nhân thọ liên quan đến chương trình bảo hiểm nhân thọ trọn đời.</w:t>
      </w:r>
    </w:p>
    <w:p w:rsidR="008572DD" w:rsidRPr="008354C2" w:rsidRDefault="00EB340A"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(3) </w:t>
      </w:r>
      <w:r w:rsidR="008572DD" w:rsidRPr="008354C2">
        <w:rPr>
          <w:rFonts w:ascii="Times New Roman" w:hAnsi="Times New Roman" w:cs="Times New Roman"/>
          <w:i/>
          <w:sz w:val="28"/>
          <w:szCs w:val="28"/>
          <w:lang w:val="vi-VN"/>
        </w:rPr>
        <w:t>Ngân hàng có thể quy định là công ty bảo hiểm nhân thọ được cấp phép sẽ thành lập và duy trì nhiều quỹ bảo hiểm đối với chương trình bảo hiểm nhân thọ trọn đời theo tiểu mục (2).</w:t>
      </w:r>
      <w:r w:rsidR="00F959C4" w:rsidRPr="008354C2">
        <w:rPr>
          <w:rFonts w:ascii="Times New Roman" w:hAnsi="Times New Roman" w:cs="Times New Roman"/>
          <w:i/>
          <w:sz w:val="28"/>
          <w:szCs w:val="28"/>
          <w:lang w:val="vi-VN"/>
        </w:rPr>
        <w:t>”</w:t>
      </w:r>
    </w:p>
    <w:p w:rsidR="008572DD" w:rsidRPr="008354C2" w:rsidRDefault="00EB340A" w:rsidP="008572DD">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Quy định về y</w:t>
      </w:r>
      <w:r w:rsidR="008572DD" w:rsidRPr="008354C2">
        <w:rPr>
          <w:rFonts w:ascii="Times New Roman" w:hAnsi="Times New Roman" w:cs="Times New Roman"/>
          <w:sz w:val="28"/>
          <w:szCs w:val="28"/>
          <w:lang w:val="vi-VN"/>
        </w:rPr>
        <w:t xml:space="preserve">êu cầu liên quan đến các quỹ bảo hiểm </w:t>
      </w:r>
    </w:p>
    <w:p w:rsidR="00EB340A" w:rsidRPr="008354C2" w:rsidRDefault="00EB340A" w:rsidP="008572DD">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Điều </w:t>
      </w:r>
      <w:r w:rsidR="008572DD" w:rsidRPr="008354C2">
        <w:rPr>
          <w:rFonts w:ascii="Times New Roman" w:hAnsi="Times New Roman" w:cs="Times New Roman"/>
          <w:sz w:val="28"/>
          <w:szCs w:val="28"/>
          <w:lang w:val="vi-VN"/>
        </w:rPr>
        <w:t>82.</w:t>
      </w:r>
      <w:r w:rsidR="008572DD" w:rsidRPr="008354C2">
        <w:rPr>
          <w:rFonts w:ascii="Times New Roman" w:hAnsi="Times New Roman" w:cs="Times New Roman"/>
          <w:sz w:val="28"/>
          <w:szCs w:val="28"/>
          <w:lang w:val="vi-VN"/>
        </w:rPr>
        <w:tab/>
      </w:r>
    </w:p>
    <w:p w:rsidR="008572DD" w:rsidRPr="008354C2" w:rsidRDefault="00F959C4"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8572DD" w:rsidRPr="008354C2">
        <w:rPr>
          <w:rFonts w:ascii="Times New Roman" w:hAnsi="Times New Roman" w:cs="Times New Roman"/>
          <w:i/>
          <w:sz w:val="28"/>
          <w:szCs w:val="28"/>
          <w:lang w:val="vi-VN"/>
        </w:rPr>
        <w:t>(1) Công ty bảo hiểm sẽ</w:t>
      </w:r>
      <w:r w:rsidR="00EB340A" w:rsidRPr="008354C2">
        <w:rPr>
          <w:rFonts w:ascii="Times New Roman" w:hAnsi="Times New Roman" w:cs="Times New Roman"/>
          <w:i/>
          <w:sz w:val="28"/>
          <w:szCs w:val="28"/>
          <w:lang w:val="vi-VN"/>
        </w:rPr>
        <w:t>:</w:t>
      </w:r>
    </w:p>
    <w:p w:rsidR="008572DD" w:rsidRPr="008354C2" w:rsidRDefault="00EB340A" w:rsidP="00EB340A">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(a) </w:t>
      </w:r>
      <w:r w:rsidR="008572DD" w:rsidRPr="008354C2">
        <w:rPr>
          <w:rFonts w:ascii="Times New Roman" w:hAnsi="Times New Roman" w:cs="Times New Roman"/>
          <w:i/>
          <w:sz w:val="28"/>
          <w:szCs w:val="28"/>
          <w:lang w:val="vi-VN"/>
        </w:rPr>
        <w:t>trả vào một quỹ bảo hiểm tất cả các khoản thu liên quan đến các đơn bảo hiểm mà quỹ bảo hiểm đó có liên quan và được phát hành bởi nó hoặc theo đó nó sẽ chịu trách nhiệm, bao gồm tất cả thu nhập của quỹ bảo hiểm đó;</w:t>
      </w:r>
    </w:p>
    <w:p w:rsidR="008572DD" w:rsidRPr="008354C2" w:rsidRDefault="00EB340A" w:rsidP="00EB340A">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(b) </w:t>
      </w:r>
      <w:r w:rsidR="008572DD" w:rsidRPr="008354C2">
        <w:rPr>
          <w:rFonts w:ascii="Times New Roman" w:hAnsi="Times New Roman" w:cs="Times New Roman"/>
          <w:i/>
          <w:sz w:val="28"/>
          <w:szCs w:val="28"/>
          <w:lang w:val="vi-VN"/>
        </w:rPr>
        <w:t>luôn duy trì tài sản trong quỹ có giá trị tương đương hoặc cao hơn trách nhiệm của quỹ bảo hiểm đó;</w:t>
      </w:r>
    </w:p>
    <w:p w:rsidR="008572DD" w:rsidRPr="008354C2" w:rsidRDefault="00EB340A" w:rsidP="00EB340A">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(c) </w:t>
      </w:r>
      <w:r w:rsidR="008572DD" w:rsidRPr="008354C2">
        <w:rPr>
          <w:rFonts w:ascii="Times New Roman" w:hAnsi="Times New Roman" w:cs="Times New Roman"/>
          <w:i/>
          <w:sz w:val="28"/>
          <w:szCs w:val="28"/>
          <w:lang w:val="vi-VN"/>
        </w:rPr>
        <w:t>chỉ sử dụng tài sản của quỹ chi cho các trách nhiệm và chi phí thực hiện bởi quỹ bảo hiểm đó và</w:t>
      </w:r>
    </w:p>
    <w:p w:rsidR="008572DD" w:rsidRPr="008354C2" w:rsidRDefault="00EB340A" w:rsidP="00EB340A">
      <w:pPr>
        <w:tabs>
          <w:tab w:val="center" w:pos="0"/>
        </w:tabs>
        <w:spacing w:before="120"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(d) </w:t>
      </w:r>
      <w:r w:rsidR="008572DD" w:rsidRPr="008354C2">
        <w:rPr>
          <w:rFonts w:ascii="Times New Roman" w:hAnsi="Times New Roman" w:cs="Times New Roman"/>
          <w:i/>
          <w:sz w:val="28"/>
          <w:szCs w:val="28"/>
          <w:lang w:val="vi-VN"/>
        </w:rPr>
        <w:t>tuân thủ các yêu cầu quy định bởi Ngân hàng theo khoản 47(2)(g) bao gồm các yêu cầu về loạ</w:t>
      </w:r>
      <w:r w:rsidRPr="008354C2">
        <w:rPr>
          <w:rFonts w:ascii="Times New Roman" w:hAnsi="Times New Roman" w:cs="Times New Roman"/>
          <w:i/>
          <w:sz w:val="28"/>
          <w:szCs w:val="28"/>
          <w:lang w:val="vi-VN"/>
        </w:rPr>
        <w:t xml:space="preserve">i </w:t>
      </w:r>
      <w:r w:rsidR="008572DD" w:rsidRPr="008354C2">
        <w:rPr>
          <w:rFonts w:ascii="Times New Roman" w:hAnsi="Times New Roman" w:cs="Times New Roman"/>
          <w:i/>
          <w:sz w:val="28"/>
          <w:szCs w:val="28"/>
          <w:lang w:val="vi-VN"/>
        </w:rPr>
        <w:t>tài sản cần có hoặc không bao gồm tài sản của quỹ bảo hiểm.</w:t>
      </w:r>
    </w:p>
    <w:p w:rsidR="008572DD" w:rsidRPr="008354C2" w:rsidRDefault="00EB340A"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(2) </w:t>
      </w:r>
      <w:r w:rsidR="008572DD" w:rsidRPr="008354C2">
        <w:rPr>
          <w:rFonts w:ascii="Times New Roman" w:hAnsi="Times New Roman" w:cs="Times New Roman"/>
          <w:i/>
          <w:sz w:val="28"/>
          <w:szCs w:val="28"/>
          <w:lang w:val="vi-VN"/>
        </w:rPr>
        <w:t>Đối với tiểu mục (1), Ngân hàng có thể quy định những gì cấu thành  “hóa đơn”, “thu nhập”, “trách nhiệm” hoặc “chi  phí” và cách thức để xác định hoặc định giá các hóa đơn, thu nhập, tài sản, trách nhiệm hoặc chi phí.</w:t>
      </w:r>
    </w:p>
    <w:p w:rsidR="008572DD" w:rsidRPr="008354C2" w:rsidRDefault="00EB340A"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(3) </w:t>
      </w:r>
      <w:r w:rsidR="008572DD" w:rsidRPr="008354C2">
        <w:rPr>
          <w:rFonts w:ascii="Times New Roman" w:hAnsi="Times New Roman" w:cs="Times New Roman"/>
          <w:i/>
          <w:sz w:val="28"/>
          <w:szCs w:val="28"/>
          <w:lang w:val="vi-VN"/>
        </w:rPr>
        <w:t>Trừ khi Ngân hàng phê chuẩn khác, công ty bảo hiểm sẽ duy trì một quỹ được thành lập theo mục 81 cho việc chịu trách nhiệm liên quan đến chương trình bảo hiểm hoặc yêu cầu bồi thường  liên quan đến quỹ đó.</w:t>
      </w:r>
      <w:r w:rsidR="00F959C4" w:rsidRPr="008354C2">
        <w:rPr>
          <w:rFonts w:ascii="Times New Roman" w:hAnsi="Times New Roman" w:cs="Times New Roman"/>
          <w:i/>
          <w:sz w:val="28"/>
          <w:szCs w:val="28"/>
          <w:lang w:val="vi-VN"/>
        </w:rPr>
        <w:t>”</w:t>
      </w:r>
    </w:p>
    <w:p w:rsidR="008572DD" w:rsidRPr="008354C2" w:rsidRDefault="008572DD" w:rsidP="008572DD">
      <w:pPr>
        <w:tabs>
          <w:tab w:val="center" w:pos="0"/>
        </w:tabs>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w:t>
      </w:r>
      <w:r w:rsidR="00EB340A" w:rsidRPr="008354C2">
        <w:rPr>
          <w:rFonts w:ascii="Times New Roman" w:hAnsi="Times New Roman" w:cs="Times New Roman"/>
          <w:sz w:val="28"/>
          <w:szCs w:val="28"/>
          <w:lang w:val="vi-VN"/>
        </w:rPr>
        <w:t>- Quy định về r</w:t>
      </w:r>
      <w:r w:rsidRPr="008354C2">
        <w:rPr>
          <w:rFonts w:ascii="Times New Roman" w:hAnsi="Times New Roman" w:cs="Times New Roman"/>
          <w:sz w:val="28"/>
          <w:szCs w:val="28"/>
          <w:lang w:val="vi-VN"/>
        </w:rPr>
        <w:t xml:space="preserve">út khỏi quỹ bảo hiểm  </w:t>
      </w:r>
    </w:p>
    <w:p w:rsidR="008572DD" w:rsidRPr="008354C2" w:rsidRDefault="00F959C4"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EB340A" w:rsidRPr="008354C2">
        <w:rPr>
          <w:rFonts w:ascii="Times New Roman" w:hAnsi="Times New Roman" w:cs="Times New Roman"/>
          <w:i/>
          <w:sz w:val="28"/>
          <w:szCs w:val="28"/>
          <w:lang w:val="vi-VN"/>
        </w:rPr>
        <w:t xml:space="preserve">Điều 83. </w:t>
      </w:r>
      <w:r w:rsidR="008572DD" w:rsidRPr="008354C2">
        <w:rPr>
          <w:rFonts w:ascii="Times New Roman" w:hAnsi="Times New Roman" w:cs="Times New Roman"/>
          <w:i/>
          <w:sz w:val="28"/>
          <w:szCs w:val="28"/>
          <w:lang w:val="vi-VN"/>
        </w:rPr>
        <w:t>Công ty bảo hiểm sẽ không rút tiền từ quỹ dù là từ nguồn thặng dư hoặc nguồn khác của quỹ trừ</w:t>
      </w:r>
      <w:r w:rsidR="00EB340A" w:rsidRPr="008354C2">
        <w:rPr>
          <w:rFonts w:ascii="Times New Roman" w:hAnsi="Times New Roman" w:cs="Times New Roman"/>
          <w:i/>
          <w:sz w:val="28"/>
          <w:szCs w:val="28"/>
          <w:lang w:val="vi-VN"/>
        </w:rPr>
        <w:t xml:space="preserve"> khi:</w:t>
      </w:r>
    </w:p>
    <w:p w:rsidR="008572DD" w:rsidRPr="008354C2" w:rsidRDefault="00EB340A"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(a) </w:t>
      </w:r>
      <w:r w:rsidR="008572DD" w:rsidRPr="008354C2">
        <w:rPr>
          <w:rFonts w:ascii="Times New Roman" w:hAnsi="Times New Roman" w:cs="Times New Roman"/>
          <w:i/>
          <w:sz w:val="28"/>
          <w:szCs w:val="28"/>
          <w:lang w:val="vi-VN"/>
        </w:rPr>
        <w:t>công ty đã tuân thủ các yêu cầu về rút tiền do Ngân hàng quy định;</w:t>
      </w:r>
    </w:p>
    <w:p w:rsidR="008572DD" w:rsidRPr="008354C2" w:rsidRDefault="00EB340A"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(b) </w:t>
      </w:r>
      <w:r w:rsidR="008572DD" w:rsidRPr="008354C2">
        <w:rPr>
          <w:rFonts w:ascii="Times New Roman" w:hAnsi="Times New Roman" w:cs="Times New Roman"/>
          <w:i/>
          <w:sz w:val="28"/>
          <w:szCs w:val="28"/>
          <w:lang w:val="vi-VN"/>
        </w:rPr>
        <w:t>việc rút tiền không ảnh hưởng đến việc duy trì quỹ bảo hiểm cho các trách nhiệm của công ty và</w:t>
      </w:r>
    </w:p>
    <w:p w:rsidR="008572DD" w:rsidRPr="008354C2" w:rsidRDefault="00EB340A" w:rsidP="008572DD">
      <w:pPr>
        <w:tabs>
          <w:tab w:val="center" w:pos="0"/>
        </w:tabs>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(c) </w:t>
      </w:r>
      <w:r w:rsidR="008572DD" w:rsidRPr="008354C2">
        <w:rPr>
          <w:rFonts w:ascii="Times New Roman" w:hAnsi="Times New Roman" w:cs="Times New Roman"/>
          <w:i/>
          <w:sz w:val="28"/>
          <w:szCs w:val="28"/>
          <w:lang w:val="vi-VN"/>
        </w:rPr>
        <w:t>Liên quan đến quỹ bảo hiểm đối với hợp đồng bảo hiểm nhân thọ trọn đời, lãi và hỗ trợ đích đáng của người sở hữu chương trình bảo hiểm bao gồm các nguyện vọng hợp lý được hưởng.</w:t>
      </w:r>
      <w:r w:rsidR="00F959C4" w:rsidRPr="008354C2">
        <w:rPr>
          <w:rFonts w:ascii="Times New Roman" w:hAnsi="Times New Roman" w:cs="Times New Roman"/>
          <w:i/>
          <w:sz w:val="28"/>
          <w:szCs w:val="28"/>
          <w:lang w:val="vi-VN"/>
        </w:rPr>
        <w:t>”</w:t>
      </w:r>
    </w:p>
    <w:p w:rsidR="00F959C4" w:rsidRPr="008354C2" w:rsidRDefault="00F959C4" w:rsidP="008572DD">
      <w:pPr>
        <w:tabs>
          <w:tab w:val="center" w:pos="0"/>
        </w:tabs>
        <w:spacing w:before="120" w:after="120"/>
        <w:jc w:val="both"/>
        <w:rPr>
          <w:rFonts w:ascii="Times New Roman" w:eastAsia="Arial" w:hAnsi="Times New Roman" w:cs="Times New Roman"/>
          <w:b/>
          <w:sz w:val="28"/>
          <w:szCs w:val="28"/>
          <w:lang w:val="vi-VN"/>
        </w:rPr>
      </w:pPr>
      <w:r w:rsidRPr="008354C2">
        <w:rPr>
          <w:rFonts w:ascii="Times New Roman" w:hAnsi="Times New Roman" w:cs="Times New Roman"/>
          <w:b/>
          <w:sz w:val="28"/>
          <w:szCs w:val="28"/>
          <w:lang w:val="vi-VN"/>
        </w:rPr>
        <w:t xml:space="preserve">1.8. </w:t>
      </w:r>
      <w:r w:rsidRPr="008354C2">
        <w:rPr>
          <w:rFonts w:ascii="Times New Roman" w:eastAsia="Arial" w:hAnsi="Times New Roman" w:cs="Times New Roman"/>
          <w:b/>
          <w:sz w:val="28"/>
          <w:szCs w:val="28"/>
          <w:lang w:val="vi-VN"/>
        </w:rPr>
        <w:t>Quy định về năm tài chính của doanh nghiệp</w:t>
      </w:r>
    </w:p>
    <w:p w:rsidR="00F959C4" w:rsidRPr="008354C2" w:rsidRDefault="00F959C4" w:rsidP="00F959C4">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1.8.1. Singapore</w:t>
      </w:r>
      <w:r w:rsidRPr="008354C2">
        <w:rPr>
          <w:rFonts w:ascii="Times New Roman" w:hAnsi="Times New Roman" w:cs="Times New Roman"/>
          <w:b/>
          <w:sz w:val="28"/>
          <w:szCs w:val="28"/>
          <w:lang w:val="vi-VN"/>
        </w:rPr>
        <w:tab/>
      </w:r>
    </w:p>
    <w:p w:rsidR="00F959C4" w:rsidRPr="008354C2" w:rsidRDefault="00F959C4" w:rsidP="00B62057">
      <w:pPr>
        <w:tabs>
          <w:tab w:val="center" w:pos="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1A. Trong Đạo luật này, trừ khi ngữ cảnh yêu cầu khác "Kỳ kế toán", liên quan đến bất kỳ công ty bảo hiểm nào, nghĩa là khoảng thời gian bắt đầu từ khi bắt đầu hoạt động kinh doanh tại Singapore hoặc ngày 1 tháng 1 của bất kỳ năm nào, tùy từng trường hợp và kết thúc vào ngày 31 tháng 12 của năm đó đối với các tài khoản liên quan đến bảo hiểm hoạt động kinh doanh do công ty bảo hiểm thực hiện tại Singapore được lưu giữ và quỹ bảo hiểm đã được thành lập theo Đạo luật này, trừ khi được Cơ quan có thẩm quyền cho phép.</w:t>
      </w:r>
    </w:p>
    <w:p w:rsidR="00F959C4" w:rsidRPr="008354C2" w:rsidRDefault="00F959C4" w:rsidP="00B751F4">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 xml:space="preserve">1.9. </w:t>
      </w:r>
      <w:r w:rsidR="00B751F4" w:rsidRPr="008354C2">
        <w:rPr>
          <w:rFonts w:ascii="Times New Roman" w:hAnsi="Times New Roman" w:cs="Times New Roman"/>
          <w:b/>
          <w:sz w:val="28"/>
          <w:szCs w:val="28"/>
          <w:lang w:val="vi-VN"/>
        </w:rPr>
        <w:t>Quy định về chế độ kế toán</w:t>
      </w:r>
    </w:p>
    <w:p w:rsidR="00B751F4" w:rsidRPr="008354C2" w:rsidRDefault="00B751F4" w:rsidP="00B751F4">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1.9.1. Trung Quốc </w:t>
      </w:r>
    </w:p>
    <w:p w:rsidR="00B751F4" w:rsidRPr="008354C2" w:rsidRDefault="00B751F4" w:rsidP="00B751F4">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Theo quy định tại Luật kinh doanh bảo hiểm Trung Quốc</w:t>
      </w:r>
    </w:p>
    <w:p w:rsidR="00B751F4" w:rsidRPr="008354C2" w:rsidRDefault="00B751F4" w:rsidP="00B751F4">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sz w:val="28"/>
          <w:szCs w:val="28"/>
          <w:lang w:val="vi-VN"/>
        </w:rPr>
        <w:t>- Điều 87:</w:t>
      </w:r>
      <w:r w:rsidRPr="008354C2">
        <w:rPr>
          <w:rFonts w:ascii="Times New Roman" w:eastAsia="Arial" w:hAnsi="Times New Roman" w:cs="Times New Roman"/>
          <w:b/>
          <w:i/>
          <w:sz w:val="28"/>
          <w:szCs w:val="28"/>
          <w:lang w:val="vi-VN"/>
        </w:rPr>
        <w:t xml:space="preserve"> </w:t>
      </w:r>
      <w:r w:rsidRPr="008354C2">
        <w:rPr>
          <w:rFonts w:ascii="Times New Roman" w:eastAsia="Arial" w:hAnsi="Times New Roman" w:cs="Times New Roman"/>
          <w:i/>
          <w:sz w:val="28"/>
          <w:szCs w:val="28"/>
          <w:lang w:val="vi-VN"/>
        </w:rPr>
        <w:t xml:space="preserve">“Công ty bảo hiểm phải lưu trữ sổ sách kế toán, chứng từ gốc và các tài liệu liên quan về hoạt động kinh doanh bảo hiểm đúng theo yêu cầu của cơ quan quản lý bảo hiểm thuộc Chính phủ. </w:t>
      </w:r>
    </w:p>
    <w:p w:rsidR="00B751F4" w:rsidRPr="008354C2" w:rsidRDefault="00B751F4" w:rsidP="00B751F4">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 xml:space="preserve">Các sổ sách kế toán, chứng từ gốc và các tài liệu liên quan nêu trên được lưu trữ ít nhất năm năm kể từ ngày hợp đồng bảo hiểm chấm dứt nếu thời hạn bảo hiểm ít hơn một năm hoặc ít nhất mười năm kể từ ngày hợp đồng bảo hiểm bị chấm dứt nếu thời hạn bảo hiểm nhiều hơn một năm.” </w:t>
      </w:r>
    </w:p>
    <w:p w:rsidR="00B751F4" w:rsidRPr="008354C2" w:rsidRDefault="00B751F4" w:rsidP="00B751F4">
      <w:pPr>
        <w:tabs>
          <w:tab w:val="center" w:pos="0"/>
        </w:tabs>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sz w:val="28"/>
          <w:szCs w:val="28"/>
          <w:lang w:val="vi-VN"/>
        </w:rPr>
        <w:t>- Điều 88:</w:t>
      </w:r>
      <w:r w:rsidRPr="008354C2">
        <w:rPr>
          <w:rFonts w:ascii="Times New Roman" w:eastAsia="Arial" w:hAnsi="Times New Roman" w:cs="Times New Roman"/>
          <w:i/>
          <w:sz w:val="28"/>
          <w:szCs w:val="28"/>
          <w:lang w:val="vi-VN"/>
        </w:rPr>
        <w:t xml:space="preserve"> “Để thuê mướn hoặc sa thải công ty kế toán, tổ chức đánh giá tài sản, cơ quan xếp hạng tín dụng hoặc bất kỳ nhà cung cấp dịch vụ trung gian nào khác, công ty bảo hiểm phải báo cáo với cơ quan quản lý bảo hiểm có thẩm quyền.”</w:t>
      </w:r>
    </w:p>
    <w:p w:rsidR="00B751F4" w:rsidRPr="008354C2" w:rsidRDefault="00B751F4" w:rsidP="00B751F4">
      <w:pPr>
        <w:tabs>
          <w:tab w:val="center" w:pos="0"/>
        </w:tabs>
        <w:spacing w:after="120"/>
        <w:jc w:val="both"/>
        <w:rPr>
          <w:rFonts w:ascii="Times New Roman" w:hAnsi="Times New Roman" w:cs="Times New Roman"/>
          <w:i/>
          <w:sz w:val="28"/>
          <w:szCs w:val="28"/>
          <w:lang w:val="vi-VN"/>
        </w:rPr>
      </w:pPr>
      <w:r w:rsidRPr="008354C2">
        <w:rPr>
          <w:rFonts w:ascii="Times New Roman" w:hAnsi="Times New Roman" w:cs="Times New Roman"/>
          <w:sz w:val="28"/>
          <w:szCs w:val="28"/>
          <w:lang w:val="vi-VN"/>
        </w:rPr>
        <w:t>- Điều 110:</w:t>
      </w:r>
      <w:r w:rsidRPr="008354C2">
        <w:rPr>
          <w:rFonts w:ascii="Times New Roman" w:hAnsi="Times New Roman" w:cs="Times New Roman"/>
          <w:b/>
          <w:i/>
          <w:sz w:val="28"/>
          <w:szCs w:val="28"/>
          <w:lang w:val="vi-VN"/>
        </w:rPr>
        <w:t xml:space="preserve"> </w:t>
      </w:r>
      <w:r w:rsidRPr="008354C2">
        <w:rPr>
          <w:rFonts w:ascii="Times New Roman" w:hAnsi="Times New Roman" w:cs="Times New Roman"/>
          <w:i/>
          <w:sz w:val="28"/>
          <w:szCs w:val="28"/>
          <w:lang w:val="vi-VN"/>
        </w:rPr>
        <w:t xml:space="preserve">“Các công ty bảo hiểm công khai các báo cáo tài chính - kế toán, tình hình quản lý rủi ro, thông tin sản phẩm bảo hiểm và các thông tin chính khác một cách trung thực, chính xác và đầy đủ theo yêu cầu của cơ quan quản lý bảo hiểm thuộc Chính phủ.” </w:t>
      </w:r>
    </w:p>
    <w:p w:rsidR="00B751F4" w:rsidRPr="008354C2" w:rsidRDefault="00B751F4" w:rsidP="00B751F4">
      <w:pPr>
        <w:tabs>
          <w:tab w:val="center" w:pos="0"/>
        </w:tabs>
        <w:spacing w:after="120"/>
        <w:jc w:val="both"/>
        <w:rPr>
          <w:rFonts w:ascii="Times New Roman" w:eastAsia="Arial" w:hAnsi="Times New Roman" w:cs="Times New Roman"/>
          <w:b/>
          <w:sz w:val="28"/>
          <w:szCs w:val="28"/>
          <w:lang w:val="vi-VN"/>
        </w:rPr>
      </w:pPr>
      <w:r w:rsidRPr="008354C2">
        <w:rPr>
          <w:rFonts w:ascii="Times New Roman" w:hAnsi="Times New Roman" w:cs="Times New Roman"/>
          <w:b/>
          <w:sz w:val="28"/>
          <w:szCs w:val="28"/>
          <w:lang w:val="vi-VN"/>
        </w:rPr>
        <w:t>1.9.2.</w:t>
      </w:r>
      <w:r w:rsidRPr="008354C2">
        <w:rPr>
          <w:rFonts w:ascii="Times New Roman" w:eastAsia="Arial" w:hAnsi="Times New Roman" w:cs="Times New Roman"/>
          <w:b/>
          <w:sz w:val="28"/>
          <w:szCs w:val="28"/>
          <w:lang w:val="vi-VN"/>
        </w:rPr>
        <w:t xml:space="preserve"> Hàn Quốc </w:t>
      </w:r>
    </w:p>
    <w:p w:rsidR="00B751F4" w:rsidRPr="008354C2" w:rsidRDefault="00B751F4" w:rsidP="00B751F4">
      <w:pPr>
        <w:tabs>
          <w:tab w:val="center" w:pos="0"/>
        </w:tabs>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Theo quy định tại Luật bảo hiểm Hàn Quốc:</w:t>
      </w:r>
    </w:p>
    <w:p w:rsidR="00B751F4" w:rsidRPr="008354C2" w:rsidRDefault="00B751F4" w:rsidP="00B751F4">
      <w:pPr>
        <w:tabs>
          <w:tab w:val="center" w:pos="0"/>
        </w:tabs>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118 (nộp Báo cáo tài chính)</w:t>
      </w:r>
    </w:p>
    <w:p w:rsidR="00B751F4" w:rsidRPr="008354C2" w:rsidRDefault="00B751F4" w:rsidP="00B751F4">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Công ty bảo hiểm sẽ đóng sổ kế toán mỗi năm vào ngày được quy định tại Nghị định và nộp báo cáo tài chính (bao gồm các chi tiết bổ sung) và báo cáo kinh doanh cho Ủy ban Dịch vụ Tài chính, theo quy định của Ủy ban Dịch vụ Tài chính trong vòng ba tháng kể từ đóng sổ.</w:t>
      </w:r>
    </w:p>
    <w:p w:rsidR="00B751F4" w:rsidRPr="008354C2" w:rsidRDefault="00B751F4" w:rsidP="00B751F4">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Công ty bảo hiểm phải nộp báo cáo nêu chi tiết hoạt động kinh doanh của mỗi tháng cho Ủy ban Dịch vụ Tài chính vào ngày cuối cùng của tháng sau, theo quy định của Nghị định.</w:t>
      </w:r>
    </w:p>
    <w:p w:rsidR="00B751F4" w:rsidRPr="008354C2" w:rsidRDefault="00B751F4" w:rsidP="00B751F4">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Công ty bảo hiểm có thể gửi các tài liệu được đề cập trong đoạn (1) và (2) bằng tài liệu điện tử, theo quy định của Nghị định.”</w:t>
      </w:r>
    </w:p>
    <w:p w:rsidR="00B751F4" w:rsidRPr="008354C2" w:rsidRDefault="00B751F4" w:rsidP="00B751F4">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119 (Lưu giữ)</w:t>
      </w:r>
    </w:p>
    <w:p w:rsidR="00B751F4" w:rsidRPr="008354C2" w:rsidRDefault="0077511C" w:rsidP="00B751F4">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B751F4" w:rsidRPr="008354C2">
        <w:rPr>
          <w:rFonts w:ascii="Times New Roman" w:hAnsi="Times New Roman" w:cs="Times New Roman"/>
          <w:i/>
          <w:sz w:val="28"/>
          <w:szCs w:val="28"/>
          <w:lang w:val="vi-VN"/>
        </w:rPr>
        <w:t>Một công ty bảo hiểm phải lưu giữ báo cáo tài chính và báo cáo kinh doanh được quy định tại Điều 118 (1) tại trụ sở chính, văn phòng chi nhánh và bất kỳ những nơi kinh doanh khác, hoặc cung cấp dạng điện tử để công khai kể từ ngày tài liệu đó được gửi cho Ủy ban Dịch vụ Tài chính.</w:t>
      </w:r>
      <w:r w:rsidRPr="008354C2">
        <w:rPr>
          <w:rFonts w:ascii="Times New Roman" w:hAnsi="Times New Roman" w:cs="Times New Roman"/>
          <w:i/>
          <w:sz w:val="28"/>
          <w:szCs w:val="28"/>
          <w:lang w:val="vi-VN"/>
        </w:rPr>
        <w:t>”</w:t>
      </w:r>
    </w:p>
    <w:p w:rsidR="00B751F4" w:rsidRPr="008354C2" w:rsidRDefault="00B751F4" w:rsidP="00B751F4">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122 (Các trường hợp đặc biệt liên quan đến việc sử dụng dự phòng đánh giá lại)</w:t>
      </w:r>
    </w:p>
    <w:p w:rsidR="00B751F4" w:rsidRPr="008354C2" w:rsidRDefault="0077511C" w:rsidP="00B751F4">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B751F4" w:rsidRPr="008354C2">
        <w:rPr>
          <w:rFonts w:ascii="Times New Roman" w:hAnsi="Times New Roman" w:cs="Times New Roman"/>
          <w:i/>
          <w:sz w:val="28"/>
          <w:szCs w:val="28"/>
          <w:lang w:val="vi-VN"/>
        </w:rPr>
        <w:t>Trường hợp công ty bảo hiểm tiến hành đánh giá lại tài sản của mình theo Đạo luật Đánh giá lại Tài sản, dự phòng đánh giá lại tích lũy từ đó có thể được xử lý để chia bảo tức cho các chủ hợp đồng sau khi xin phép Ủy ban Dịch vụ Tài chính ngoài việc xử lý được quy định theo từng đoạn của Điều 28 (2) của Đạo luật đánh giá lại tài sản.</w:t>
      </w:r>
      <w:r w:rsidRPr="008354C2">
        <w:rPr>
          <w:rFonts w:ascii="Times New Roman" w:hAnsi="Times New Roman" w:cs="Times New Roman"/>
          <w:i/>
          <w:sz w:val="28"/>
          <w:szCs w:val="28"/>
          <w:lang w:val="vi-VN"/>
        </w:rPr>
        <w:t>”</w:t>
      </w:r>
    </w:p>
    <w:p w:rsidR="00B751F4" w:rsidRPr="008354C2" w:rsidRDefault="003A2691" w:rsidP="003A2691">
      <w:pPr>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1.10. Quy định về kiểm toán độc lập</w:t>
      </w:r>
    </w:p>
    <w:p w:rsidR="003A2691" w:rsidRPr="008354C2" w:rsidRDefault="003A2691" w:rsidP="003A2691">
      <w:pPr>
        <w:tabs>
          <w:tab w:val="center" w:pos="0"/>
        </w:tabs>
        <w:spacing w:after="120"/>
        <w:jc w:val="both"/>
        <w:rPr>
          <w:rFonts w:ascii="Times New Roman" w:hAnsi="Times New Roman" w:cs="Times New Roman"/>
          <w:b/>
          <w:sz w:val="28"/>
          <w:szCs w:val="28"/>
          <w:lang w:val="vi-VN"/>
        </w:rPr>
      </w:pPr>
      <w:r w:rsidRPr="008354C2">
        <w:rPr>
          <w:rFonts w:ascii="Times New Roman" w:hAnsi="Times New Roman" w:cs="Times New Roman"/>
          <w:sz w:val="28"/>
          <w:szCs w:val="28"/>
          <w:lang w:val="vi-VN"/>
        </w:rPr>
        <w:t>Các nước yêu cầu kiểm toán độc lập và trách nhiệm của kiểm toán độc lập. Cụ thể như sau:</w:t>
      </w:r>
    </w:p>
    <w:p w:rsidR="003A2691" w:rsidRPr="008354C2" w:rsidRDefault="003A2691" w:rsidP="003A2691">
      <w:pPr>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1.10.1. Singapore</w:t>
      </w:r>
    </w:p>
    <w:p w:rsidR="003A2691" w:rsidRPr="008354C2" w:rsidRDefault="003A2691" w:rsidP="003A2691">
      <w:pPr>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Theo quy định tại Luật bảo hiểm Singapore:</w:t>
      </w:r>
    </w:p>
    <w:p w:rsidR="003A2691" w:rsidRPr="008354C2" w:rsidRDefault="003A2691" w:rsidP="003A2691">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36</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 Nhà môi giới bảo hiểm đã đăng ký phải chuẩn bị các báo cáo tài khoản và các báo cáo khác theo hình thức và cách thức như được quy định và nộp cho Cơ quan quản lý.</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công ty bảo hiểm được cấp phép hoặc nhà môi giới bảo hiểm đã đăng ký sẽ:</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lưu các giấy tờ tại Singapore như sổ sách và hồ sơ để giải thích đầy đủ về giao dịch và vị trí tài chính của công ty bảo hiểm hoặc nhà môi giới bảo hiểm tại Singapore và cho phép nhà bảo hiểm hoặc nhà môi giới bảo hiểm tuân thủ các yêu cầu của phần này và điều 37 tùy thuộc và từng trường hợp cụ thể của mỗi công ty; và</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giữ sổ sách và hồ sơ nhằm thuận tiện cho việc kiểm tra</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công ty bảo hiểm được cấp phép hoặc nhà tái bảo hiểm có thẩm quyền phải chuẩn bị và nộp cho Cơ quan quản lý có thẩm quyền các báo cáo tài khoản và các báo cáo khác liên quan đến hoạt động kinh doanh của mình và theo hình thức và cách thức được Cơ quan quản lý chỉ định hoặc quy định..</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(3A) Để phục vụ mục đích của mục (3):</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công ty bảo hiểm được cấp phép phải có toàn bộ báo cáo tài khoản hoặc một phần được kiểm toán bởi kiểm toán viên và đáp ứng mục (6) dưới hình thức và cách thức mà Cơ quan quản lý quy định hoặc chỉ định; và</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bất kể quy định của Luật doanh nghiệp (Cap. 50) hoặc Luật Hợp tác xã (Cap. 62), tùy thuộc từng trường hợp mỗi công ty bảo hiểm được cấp phép sẽ cử một kiểm toán viên thực hiện kiểm toán hàng năm trừ công ty bảo hiểm nội ngành và  công ty bảo hiểm tương hỗ.</w:t>
      </w:r>
    </w:p>
    <w:p w:rsidR="003A2691" w:rsidRPr="008354C2" w:rsidRDefault="003A2691" w:rsidP="003A2691">
      <w:pPr>
        <w:spacing w:after="120"/>
        <w:ind w:left="-38"/>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Nhà môi giới bảo hiểm đã đăng ký phải kiểm toán tài khoản cho từng năm tài chính mà báo cáo tài khoản và các báo cáo khác được lập theo các quy định theo mục (1).</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(5) Nhà môi giới bảo hiểm đã đăng ký cử người kiểm toán thực hiện kiểm toán tài khoản và các báo cáo khác được lập theo mục (1) và trong trường hợp kiểm toán viên đó ngừng làm việc cho nhà môi giới bảo hiểm đã đăng ký, nhà môi giới bảo hiểm đã đăng ký sẽ bổ nhiệm một kiểm toán viên khác ngay khi có thể.</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(6) Không người nào được hoạt động như kiểm toán viên cho bất kỳ công ty bảo hiểm nào được cấp phép hoặc nhà môi giới bảo hiểm đã đăng ký trừ khi:</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người này có một nơi làm việc ở Singapore;</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người này được chấp thuận theo Điều 10 của Luật doanh nghiệp (Cap. 50) với tư cách là kiểm toán viên của công ty với mục đích của Luật đó; và</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 trong trường hợp của một công ty bảo hiểm được cấp phép, công ty bảo hiểm được cấp phép đã nhận được sự chấp thuận của Cơ quan quản lý để chỉ định người đó làm kiểm toán viên.</w:t>
      </w:r>
    </w:p>
    <w:p w:rsidR="003A2691" w:rsidRPr="008354C2" w:rsidRDefault="003A2691" w:rsidP="003A2691">
      <w:pPr>
        <w:spacing w:after="120"/>
        <w:ind w:left="-38"/>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(7) Kiểm toán viên sẽ không được Cơ quan quản lý có thẩm quyền phê duyệt làm kiểm toán viên cho công ty bảo hiểm được cấp phép trừ khi người này có thể tuân thủ các điều kiện liên quan đến việc thực hiện các nghĩa vụ của mình.</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(8) Bất kể điều khoản nào khác của Luật này hoặc quy định của Luật doanh nghiệp (Cap. 50), nếu không hài lòng với việc thực hiện nhiệm vụ của kiểm toán viên được chỉ định bởi một công ty bảo hiểm được cấp phép hoặc nhà môi giới bảo hiểm đã đăng ký, Cơ quan quản lý có thể:</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chỉ đạo công ty bảo hiểm được cấp phép hoặc nhà môi giới bảo hiểm đã đăng ký để cắt chức kiểm toán viên bất kỳ lúc nào; và</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chỉ đạo công ty bảo hiểm được cấp phép hoặc nhà môi giới bảo hiểm đã đăng ký bổ nhiệm một kiểm toán viên khác càng sớm càng tốt,</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 và công ty bảo hiểm được cấp phép hoặc nhà môi giới bảo hiểm đã đăng ký, phải tuân thủ theo chỉ dẫn đó.</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(9) Cơ quan quản lý có thể áp đặt tất cả hoặc bất kỳ nghĩa vụ nào sau đây cho kiểm toán viên:</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nghĩa vụ nộp các thông tin bổ sung liên quan đến kiểm toán của mình khi Cơ quan quản lý xem xét thấy cần thiết;</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nghĩa vụ gia tăng hoặc mở rộng phạm vi kiểm toán về doạt động kinh doanh và các vấn đề của  công ty bảo hiểm được cấp phép hoặc nhà môi giới bảo hiểm đã đăng ký tùy từng trường hợp cụ thể;</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 nghĩa vụ thực hiện bất kỳ cuộc kiểm tra nào khác hoặc thiết lập bất kỳ thủ tục nào trong tùy từng trường hợp cụ thể;</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(d) nghĩa vụ nộp báo cáo về bất kỳ vấn đề nào được đề cập trong các khoản (b) và (c), và nhà bảo hiểm được cấp phép hoặc nhà môi giới bảo hiểm đã đăng ký sẽ trả thù lao cho kiểm toán viên về tất cả hoặc bất kỳ trách nhiệm nào của người kiểm toán.</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(10) Báo cáo của kiểm toán viên được thực hiện theo mục (9) sẽ được nộp bởi công ty bảo hiểm với Cơ quan quản lý cùng với các báo cáo của các tài khoản nộp dưới mục (3).</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(11) Nếu một kiểm toán viên, trong quá trình thực hiện nhiệm vụ của mình với tư cách là kiểm toán viên của công ty bảo hiểm được cấp phép hoặc nhà môi giới bảo hiểm đã đăng ký, được chứng minh rằng:</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đã có sự vi phạm nghiêm trọng bất kỳ điều khoản nào của Luật này hoặc một hành vi phạm tội liên quan đến gian lận hoặc không trung thực;</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những bất thường nghiêm trọng đã xảy ra, bao gồm những bất thường gây nguy hiểm cho quyền lợi của người tham gia bảo hiểm;</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 đối với  công ty bảo hiểm được cấp phép:</w:t>
      </w:r>
    </w:p>
    <w:p w:rsidR="003A2691" w:rsidRPr="008354C2" w:rsidRDefault="003A2691" w:rsidP="003A2691">
      <w:pPr>
        <w:spacing w:after="120"/>
        <w:ind w:firstLine="108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(i) trong trường hợp công ty bảo hiểm được thành lập tại Singapore, công ty bảo hiểm không thể hoàn thành nghĩa vụ của mình; hoặc là</w:t>
      </w:r>
    </w:p>
    <w:p w:rsidR="003A2691" w:rsidRPr="008354C2" w:rsidRDefault="003A2691" w:rsidP="003A2691">
      <w:pPr>
        <w:spacing w:after="120"/>
        <w:ind w:firstLine="108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(ii) bất kỳ giao dịch hoặc tranh chấp nào đã diễn ra sẽ có ảnh hưởng nghiêm trọng đến khả năng thanh toán của bất kỳ quỹ bảo hiểm nào được thành lập bởi  công ty bảo hiểm theo Luật này; hoặc là</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(d) nhà môi giới bảo hiểm không thể đáp ứng nghĩa vụ của mình, kiểm toán viên phải báo cáo ngay lập tức vấn đề bằng văn bản cho Cơ quan quản lý.</w:t>
      </w:r>
    </w:p>
    <w:p w:rsidR="003A2691" w:rsidRPr="008354C2" w:rsidRDefault="003A2691" w:rsidP="003A2691">
      <w:pPr>
        <w:spacing w:after="120"/>
        <w:ind w:left="-38"/>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(12) Trong trường hợp một công ty được thành lập bên ngoài Singapore, việc kiểm toán theo yêu cầu của mục (3A) không cần phải mở rộng ra ngoài công ty mà quỹ bảo hiểm được duy trì theo Luật này.</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(13) Cơ quan có thể công bố bất kỳ thông tin nào thu được hoặc nhận được theo phần này hoặc điều 37 bất kỳ lúc nào và bằng hình thức hoặc cách thức mà nó được xem xét một cách thích hợp. Điều tra và báo cáo điều tra thực tế về kinh doanh bảo hiểm.”</w:t>
      </w:r>
    </w:p>
    <w:p w:rsidR="003A2691" w:rsidRPr="008354C2" w:rsidRDefault="003A2691" w:rsidP="003A2691">
      <w:pPr>
        <w:spacing w:before="120" w:after="120"/>
        <w:jc w:val="both"/>
        <w:rPr>
          <w:rFonts w:ascii="Times New Roman" w:hAnsi="Times New Roman" w:cs="Times New Roman"/>
          <w:b/>
          <w:sz w:val="28"/>
          <w:szCs w:val="28"/>
          <w:lang w:val="vi-VN"/>
        </w:rPr>
      </w:pPr>
      <w:r w:rsidRPr="008354C2">
        <w:rPr>
          <w:rFonts w:ascii="Times New Roman" w:hAnsi="Times New Roman" w:cs="Times New Roman"/>
          <w:b/>
          <w:sz w:val="28"/>
          <w:szCs w:val="28"/>
          <w:lang w:val="vi-VN"/>
        </w:rPr>
        <w:t>1.10.2. Malaysia</w:t>
      </w:r>
    </w:p>
    <w:p w:rsidR="003A2691" w:rsidRPr="008354C2" w:rsidRDefault="003A2691" w:rsidP="003A2691">
      <w:pPr>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Theo quy định tại Luật dịch vụ tài chính Malaysia:</w:t>
      </w:r>
      <w:r w:rsidR="00172A3B" w:rsidRPr="008354C2">
        <w:rPr>
          <w:rFonts w:ascii="Times New Roman" w:hAnsi="Times New Roman" w:cs="Times New Roman"/>
          <w:sz w:val="28"/>
          <w:szCs w:val="28"/>
          <w:lang w:val="vi-VN"/>
        </w:rPr>
        <w:t xml:space="preserve"> </w:t>
      </w:r>
      <w:r w:rsidRPr="008354C2">
        <w:rPr>
          <w:rFonts w:ascii="Times New Roman" w:hAnsi="Times New Roman" w:cs="Times New Roman"/>
          <w:sz w:val="28"/>
          <w:szCs w:val="28"/>
          <w:lang w:val="vi-VN"/>
        </w:rPr>
        <w:t>Việc bổ nhiệm kiểm toán viên do công ty thực hiện</w:t>
      </w:r>
    </w:p>
    <w:p w:rsidR="003A2691" w:rsidRPr="008354C2" w:rsidRDefault="003A2691" w:rsidP="003A2691">
      <w:pPr>
        <w:spacing w:before="120"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67</w:t>
      </w:r>
    </w:p>
    <w:p w:rsidR="003A2691" w:rsidRPr="008354C2" w:rsidRDefault="00172A3B" w:rsidP="003A2691">
      <w:pPr>
        <w:spacing w:before="120"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3A2691" w:rsidRPr="008354C2">
        <w:rPr>
          <w:rFonts w:ascii="Times New Roman" w:hAnsi="Times New Roman" w:cs="Times New Roman"/>
          <w:i/>
          <w:sz w:val="28"/>
          <w:szCs w:val="28"/>
          <w:lang w:val="vi-VN"/>
        </w:rPr>
        <w:t>(1) Mỗi công ty sẽ bổ nhiệm một kiểm toán viên cho mỗi năm tài chính, là người đáp ứng các yêu cầu hoặc có đủ điều kiện được nêu tại bất kỳ tiêu chuẩn nào do Ngân hàng quy định theo tiểu mục 47 (1).</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Trừ khi có sự chấp thuận bằng văn bản trước của Ngân hàng, không có người được cấp phép nào được bổ nhiệm bất cứ người nào là kiểm toán viên và không người nào có thể chấp nhận việc bổ nhiệm kiểm toán viên đó.</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Người được cấp phép hoặc người vận hành của hệ thống thanh toán chỉ định sẽ thông báo với Ngân hàng về việc bổ nhiệm kiểm toán viên trong thời gian do Ngân hàng xem xét.</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(4) Đối với mục này:</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Một người không được coi là cán bộ của một công ty bởi một lý do là người đó được bổ nhiệm là kiểm toán viên của công ty và</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Thuật ngữ “bổ nhiệm” bao gồm cả việc tái bổ nhiệ</w:t>
      </w:r>
      <w:r w:rsidR="00172A3B" w:rsidRPr="008354C2">
        <w:rPr>
          <w:rFonts w:ascii="Times New Roman" w:hAnsi="Times New Roman" w:cs="Times New Roman"/>
          <w:i/>
          <w:sz w:val="28"/>
          <w:szCs w:val="28"/>
          <w:lang w:val="vi-VN"/>
        </w:rPr>
        <w:t>m.”</w:t>
      </w:r>
    </w:p>
    <w:p w:rsidR="00172A3B" w:rsidRPr="008354C2" w:rsidRDefault="003A2691" w:rsidP="003A2691">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Điều </w:t>
      </w:r>
      <w:r w:rsidR="00172A3B" w:rsidRPr="008354C2">
        <w:rPr>
          <w:rFonts w:ascii="Times New Roman" w:hAnsi="Times New Roman" w:cs="Times New Roman"/>
          <w:sz w:val="28"/>
          <w:szCs w:val="28"/>
          <w:lang w:val="vi-VN"/>
        </w:rPr>
        <w:t>68:</w:t>
      </w:r>
    </w:p>
    <w:p w:rsidR="003A2691" w:rsidRPr="008354C2" w:rsidRDefault="00172A3B"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3A2691" w:rsidRPr="008354C2">
        <w:rPr>
          <w:rFonts w:ascii="Times New Roman" w:hAnsi="Times New Roman" w:cs="Times New Roman"/>
          <w:i/>
          <w:sz w:val="28"/>
          <w:szCs w:val="28"/>
          <w:lang w:val="vi-VN"/>
        </w:rPr>
        <w:t>Không tính đến mục 67, Ngân hàng có thể b</w:t>
      </w:r>
      <w:r w:rsidRPr="008354C2">
        <w:rPr>
          <w:rFonts w:ascii="Times New Roman" w:hAnsi="Times New Roman" w:cs="Times New Roman"/>
          <w:i/>
          <w:sz w:val="28"/>
          <w:szCs w:val="28"/>
          <w:lang w:val="vi-VN"/>
        </w:rPr>
        <w:t>ổ</w:t>
      </w:r>
      <w:r w:rsidR="003A2691" w:rsidRPr="008354C2">
        <w:rPr>
          <w:rFonts w:ascii="Times New Roman" w:hAnsi="Times New Roman" w:cs="Times New Roman"/>
          <w:i/>
          <w:sz w:val="28"/>
          <w:szCs w:val="28"/>
          <w:lang w:val="vi-VN"/>
        </w:rPr>
        <w:t xml:space="preserve"> nhiệm kiểm toán viên cho công ty:</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(a) nếu công ty không bổ nhiệm kiểm toán viên như yêu cầu tại tiểu mục 67 (1) hoặc </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để làm việc với kiểm toán viên hiện thời của công ty được bổ nhiệm tại tiểu mục 67 (1).</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Và việc chi trả và chi phí liên quan đến việc bổ nhiệm sẽ do công ty thực hiện.</w:t>
      </w:r>
      <w:r w:rsidR="00172A3B" w:rsidRPr="008354C2">
        <w:rPr>
          <w:rFonts w:ascii="Times New Roman" w:hAnsi="Times New Roman" w:cs="Times New Roman"/>
          <w:i/>
          <w:sz w:val="28"/>
          <w:szCs w:val="28"/>
          <w:lang w:val="vi-VN"/>
        </w:rPr>
        <w:t>”</w:t>
      </w:r>
    </w:p>
    <w:p w:rsidR="003A2691" w:rsidRPr="008354C2" w:rsidRDefault="003A2691" w:rsidP="003A2691">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69.</w:t>
      </w:r>
      <w:r w:rsidRPr="008354C2">
        <w:rPr>
          <w:rFonts w:ascii="Times New Roman" w:hAnsi="Times New Roman" w:cs="Times New Roman"/>
          <w:sz w:val="28"/>
          <w:szCs w:val="28"/>
          <w:lang w:val="vi-VN"/>
        </w:rPr>
        <w:tab/>
      </w:r>
    </w:p>
    <w:p w:rsidR="003A2691" w:rsidRPr="008354C2" w:rsidRDefault="00172A3B"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3A2691" w:rsidRPr="008354C2">
        <w:rPr>
          <w:rFonts w:ascii="Times New Roman" w:hAnsi="Times New Roman" w:cs="Times New Roman"/>
          <w:i/>
          <w:sz w:val="28"/>
          <w:szCs w:val="28"/>
          <w:lang w:val="vi-VN"/>
        </w:rPr>
        <w:t>(1) Một kiểm toán viên được bổ nhiệm theo mục này sẽ:</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thực hiện kiểm toán hoạt động, các sự việc và sổ sách của công ty;</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nộp báo cáo kiểm toán đó lên các thành viên của công ty và Ngân hàng;</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 nộp bổ sung thông tin nếu được yêu cầu bởi Ngân hàng liên quan đến việc kiểm toán theo đoạn (a);</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(d) mở rộng và kéo dài phạm vi kiểm toán thực hiện tại đoạn (a) trong khoảng thời gian và với cách thức hoặc phạm vi do Ngân hàng quy định hoặc </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(e) Thực hiện bất kỳ đánh giá cụ thể nào về hoạt động, các vấn đề và sổ sách của công ty do Ngân hàng quy định và nộp báo cáo lên Ngân hàng về đánh giá đó.</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Việc chi trả và chi phí của kiểm toán viên liên quan đến bất kỳ phạm vi kiểm toán được mở rộng và kéo dài theo khoản (1)(d) hoặc bất kỳ đánh giá cụ thể nào theo khoản (1)(e) sẽ do công ty chi trả.</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(3) Bất kỳ việc kiểm toán nào được thực hiện theo tiểu mục (1) sẽ tuân theo các tiêu chuẩn kiểm toán được cấp phép rộng rãi áp dụng tại Malaysia.</w:t>
      </w:r>
      <w:r w:rsidR="00172A3B" w:rsidRPr="008354C2">
        <w:rPr>
          <w:rFonts w:ascii="Times New Roman" w:hAnsi="Times New Roman" w:cs="Times New Roman"/>
          <w:i/>
          <w:sz w:val="28"/>
          <w:szCs w:val="28"/>
          <w:lang w:val="vi-VN"/>
        </w:rPr>
        <w:t>”</w:t>
      </w:r>
    </w:p>
    <w:p w:rsidR="003A2691" w:rsidRPr="008354C2" w:rsidRDefault="003A2691" w:rsidP="003A2691">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70</w:t>
      </w:r>
      <w:r w:rsidRPr="008354C2">
        <w:rPr>
          <w:rFonts w:ascii="Times New Roman" w:hAnsi="Times New Roman" w:cs="Times New Roman"/>
          <w:sz w:val="28"/>
          <w:szCs w:val="28"/>
          <w:lang w:val="vi-VN"/>
        </w:rPr>
        <w:tab/>
      </w:r>
    </w:p>
    <w:p w:rsidR="003A2691" w:rsidRPr="008354C2" w:rsidRDefault="00172A3B"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3A2691" w:rsidRPr="008354C2">
        <w:rPr>
          <w:rFonts w:ascii="Times New Roman" w:hAnsi="Times New Roman" w:cs="Times New Roman"/>
          <w:i/>
          <w:sz w:val="28"/>
          <w:szCs w:val="28"/>
          <w:lang w:val="vi-VN"/>
        </w:rPr>
        <w:t>Nếu trong quá trình kiểm toán với công ty, người được kiểm toán được bổ nhiệm theo mục 67 hoặc 68 dừng công việc của kiểm toán viên thì phải thông báo với Ngân hàng bằng văn bản về sự việc đó và lý do dừng việc trong vòng 7 ngày từ ngày nghỉ việc.</w:t>
      </w:r>
      <w:r w:rsidRPr="008354C2">
        <w:rPr>
          <w:rFonts w:ascii="Times New Roman" w:hAnsi="Times New Roman" w:cs="Times New Roman"/>
          <w:i/>
          <w:sz w:val="28"/>
          <w:szCs w:val="28"/>
          <w:lang w:val="vi-VN"/>
        </w:rPr>
        <w:t>”</w:t>
      </w:r>
    </w:p>
    <w:p w:rsidR="003A2691" w:rsidRPr="008354C2" w:rsidRDefault="003A2691" w:rsidP="003A2691">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71.</w:t>
      </w:r>
      <w:r w:rsidRPr="008354C2">
        <w:rPr>
          <w:rFonts w:ascii="Times New Roman" w:hAnsi="Times New Roman" w:cs="Times New Roman"/>
          <w:sz w:val="28"/>
          <w:szCs w:val="28"/>
          <w:lang w:val="vi-VN"/>
        </w:rPr>
        <w:tab/>
      </w:r>
    </w:p>
    <w:p w:rsidR="003A2691" w:rsidRPr="008354C2" w:rsidRDefault="00172A3B"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3A2691" w:rsidRPr="008354C2">
        <w:rPr>
          <w:rFonts w:ascii="Times New Roman" w:hAnsi="Times New Roman" w:cs="Times New Roman"/>
          <w:i/>
          <w:sz w:val="28"/>
          <w:szCs w:val="28"/>
          <w:lang w:val="vi-VN"/>
        </w:rPr>
        <w:t>Bất kỳ giám đốc, cán bộ hoặc người kiểm soát của doanh nghiệp sẽ:</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(a) cung cấp cho kiểm toán được bổ nhiệm theo mục 67 và 68 tất cả thông tin trong phạm vi hiểu biết hoặc khả năng có thể nhận được mà kiểm toán yêu cầu và  </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(b) đảm bảo tất cả thông tin cung cấp theo đoạn (a) chính xác, đầy đủ và không có sai lệch </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Để giúp kiểm toán viên thực hiện nghĩa vụ của mình theo luật này.</w:t>
      </w:r>
      <w:r w:rsidR="00172A3B" w:rsidRPr="008354C2">
        <w:rPr>
          <w:rFonts w:ascii="Times New Roman" w:hAnsi="Times New Roman" w:cs="Times New Roman"/>
          <w:i/>
          <w:sz w:val="28"/>
          <w:szCs w:val="28"/>
          <w:lang w:val="vi-VN"/>
        </w:rPr>
        <w:t>”</w:t>
      </w:r>
    </w:p>
    <w:p w:rsidR="003A2691" w:rsidRPr="008354C2" w:rsidRDefault="003A2691" w:rsidP="003A2691">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72</w:t>
      </w:r>
      <w:r w:rsidRPr="008354C2">
        <w:rPr>
          <w:rFonts w:ascii="Times New Roman" w:hAnsi="Times New Roman" w:cs="Times New Roman"/>
          <w:sz w:val="28"/>
          <w:szCs w:val="28"/>
          <w:lang w:val="vi-VN"/>
        </w:rPr>
        <w:tab/>
      </w:r>
    </w:p>
    <w:p w:rsidR="003A2691" w:rsidRPr="008354C2" w:rsidRDefault="00172A3B"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3A2691" w:rsidRPr="008354C2">
        <w:rPr>
          <w:rFonts w:ascii="Times New Roman" w:hAnsi="Times New Roman" w:cs="Times New Roman"/>
          <w:i/>
          <w:sz w:val="28"/>
          <w:szCs w:val="28"/>
          <w:lang w:val="vi-VN"/>
        </w:rPr>
        <w:t xml:space="preserve">Kiểm toán viên sẽ thông báo vấn đề cho Ngân hàng bằng văn bản ngay khi trong quá trình thực hiện nghĩa vụ của một kiểm toán viên cho một công ty theo luật này và thấy rằng: </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có sự vi phạm hoặc làm trái với bất kỳ điều khoản nào của Luật này hoặc không tuân theo bất kỳ tiêu chuẩn nào do Ngân hàng quy định theo luật này và việc không tuân thủ đó có thể ảnh hưởng lớn đến vị thế tài chính của công ty;</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có sự vi phạm liên quan đến lừa gạt hoặc không trung thực theo bất kỳ văn bản luật nào do công ty hoặc giám đốc hoặc cán bộ của công ty thực hiện;</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(c) có bất thường có thể ảnh hưởng lớn đến vị thế tài chính của công ty bao gồm bất kỳ bất thường gây hại hoặc có thể gây hại đến lợi ích của người gửi tiền, người sở hữu hợp đồng, chủ nợ của công ty, người tham gia hoặc người sử dụng hoặc bất kỳ bất thường nghiệm trọng nào khác xảy ra;</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(d) kiểm toán viên không thể xác nhận được rằng yêu cầu bồi thường của người gửi tiền, người sở hữu hợp đồng bảo hiểm, chủ nợ của công ty, người tham gia hoặc người sử dụng tùy theo trường hợp được chi trả bởi tài sản của công ty hay quỹ bảo hiểm;</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(e) có sự yếu kém trong việc kiểm soát nội bộ liên quan đến quá trình báo cáo tài chính do công ty thực hiện hoặc</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(f) Vị thế tài chính của công ty chắc chắn hoặc đã bị ảnh hưởng nghiêm trọng bởi bất kỳ sự việc, việc thực hiện hoạt động của tổ chức hoặc sự yếu kém trong kiểm soát nộI bộ của công ty.</w:t>
      </w:r>
      <w:r w:rsidR="00172A3B" w:rsidRPr="008354C2">
        <w:rPr>
          <w:rFonts w:ascii="Times New Roman" w:hAnsi="Times New Roman" w:cs="Times New Roman"/>
          <w:i/>
          <w:sz w:val="28"/>
          <w:szCs w:val="28"/>
          <w:lang w:val="vi-VN"/>
        </w:rPr>
        <w:t>”</w:t>
      </w:r>
    </w:p>
    <w:p w:rsidR="003A2691" w:rsidRPr="008354C2" w:rsidRDefault="003A2691" w:rsidP="003A2691">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Điều 73</w:t>
      </w:r>
      <w:r w:rsidRPr="008354C2">
        <w:rPr>
          <w:rFonts w:ascii="Times New Roman" w:hAnsi="Times New Roman" w:cs="Times New Roman"/>
          <w:sz w:val="28"/>
          <w:szCs w:val="28"/>
          <w:lang w:val="vi-VN"/>
        </w:rPr>
        <w:tab/>
      </w:r>
    </w:p>
    <w:p w:rsidR="003A2691" w:rsidRPr="008354C2" w:rsidRDefault="00172A3B"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3A2691" w:rsidRPr="008354C2">
        <w:rPr>
          <w:rFonts w:ascii="Times New Roman" w:hAnsi="Times New Roman" w:cs="Times New Roman"/>
          <w:i/>
          <w:sz w:val="28"/>
          <w:szCs w:val="28"/>
          <w:lang w:val="vi-VN"/>
        </w:rPr>
        <w:t>(1) Tiểu mục 133 (1) sẽ không áp dụng hoặc thông tin liên quan đến các vấn đề hoặc tài khoản của bất kỳ khách hàng nào của công ty tài chính thuộc điều kiện do Ngân hàng quy định, được công bố bởi kiểm toán của công ty tài chính với Ban giám sát Kiểm toán được thành lập theo Luật Ủy ban chứng khoản năm 1993 [Luật 498] hoặc cán bộ hoặc người được phép bằng văn bản bởi Ban giám sát kiểm toán để thực hiện trách nhiệm của Ban giám sát kiểm toán.</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Kiểm toán viên của công ty sẽ không chịu trách nhiệm:</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 xml:space="preserve">(a) vi phạm nghĩa vụ bảo mật giữa kiểm toán viên và công ty liên quan đến bất kỳ thông báo tới Ngân hàng nào được làm một cách trung thực theo mục này hoặc </w:t>
      </w:r>
    </w:p>
    <w:p w:rsidR="003A2691" w:rsidRPr="008354C2" w:rsidRDefault="003A2691" w:rsidP="003A2691">
      <w:pPr>
        <w:spacing w:after="120"/>
        <w:ind w:firstLine="7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Bị kiện ra tòa vì gây ra tổn hại liên quan đến bất kỳ báo cáo nào do kiểm toán làm mà không có ác ý trong việc thực hiện nghĩa vụ của mình theo luật này.</w:t>
      </w:r>
      <w:r w:rsidR="00172A3B" w:rsidRPr="008354C2">
        <w:rPr>
          <w:rFonts w:ascii="Times New Roman" w:hAnsi="Times New Roman" w:cs="Times New Roman"/>
          <w:i/>
          <w:sz w:val="28"/>
          <w:szCs w:val="28"/>
          <w:lang w:val="vi-VN"/>
        </w:rPr>
        <w:t>”</w:t>
      </w:r>
    </w:p>
    <w:p w:rsidR="003A2691" w:rsidRPr="008354C2" w:rsidRDefault="00172A3B" w:rsidP="003A2691">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1.10</w:t>
      </w:r>
      <w:r w:rsidR="003A2691" w:rsidRPr="008354C2">
        <w:rPr>
          <w:rFonts w:ascii="Times New Roman" w:eastAsia="Arial" w:hAnsi="Times New Roman" w:cs="Times New Roman"/>
          <w:b/>
          <w:sz w:val="28"/>
          <w:szCs w:val="28"/>
          <w:lang w:val="vi-VN"/>
        </w:rPr>
        <w:t>.3. Nhật Bản</w:t>
      </w:r>
    </w:p>
    <w:p w:rsidR="003A2691" w:rsidRPr="008354C2" w:rsidRDefault="003A2691" w:rsidP="003A2691">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Theo quy định tại Luật Bảo hiểm Nhật Bản</w:t>
      </w:r>
    </w:p>
    <w:p w:rsidR="003A2691" w:rsidRPr="008354C2" w:rsidRDefault="003A2691" w:rsidP="003A2691">
      <w:pPr>
        <w:spacing w:after="120"/>
        <w:jc w:val="both"/>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 Điều 54-4 </w:t>
      </w:r>
    </w:p>
    <w:p w:rsidR="003A2691" w:rsidRPr="008354C2" w:rsidRDefault="00172A3B"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w:t>
      </w:r>
      <w:r w:rsidR="003A2691" w:rsidRPr="008354C2">
        <w:rPr>
          <w:rFonts w:ascii="Times New Roman" w:hAnsi="Times New Roman" w:cs="Times New Roman"/>
          <w:i/>
          <w:sz w:val="28"/>
          <w:szCs w:val="28"/>
          <w:lang w:val="vi-VN"/>
        </w:rPr>
        <w:t>(1) Trong một Công ty tương hỗ (không phải là công ty có Kiểm toán tài chính),  báo cáo tài chính và báo cáo kinh doanh, và các báo cáo chi tiết đính kèm, sẽ được kiểm toán theo các quy định trong Pháp lệnh của Văn phòng Nội các.</w:t>
      </w:r>
    </w:p>
    <w:p w:rsidR="003A2691" w:rsidRPr="008354C2" w:rsidRDefault="003A2691" w:rsidP="003A2691">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(2) Trong công ty có Kiểm toán tài chính, các tài liệu được liệt kê tại các điểm sau sẽ được kiểm toán bởi những người được liệt kê tại các điểm có liên quan theo các quy định trong Pháp lệnh của Văn phòng Nội các:</w:t>
      </w:r>
    </w:p>
    <w:p w:rsidR="003A2691" w:rsidRPr="008354C2" w:rsidRDefault="003A2691" w:rsidP="003A2691">
      <w:pPr>
        <w:spacing w:after="120"/>
        <w:ind w:left="321"/>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(a) Báo cáo tài chính và các báo cáo chi tiết đính kèm: Kiểm toán viên của công ty (hoặc, trong công ty có các Ủy ban, Ủy ban kiểm toán) và Kiểm toán kế toán; và</w:t>
      </w:r>
    </w:p>
    <w:p w:rsidR="003A2691" w:rsidRPr="008354C2" w:rsidRDefault="003A2691" w:rsidP="003A2691">
      <w:pPr>
        <w:spacing w:after="120"/>
        <w:ind w:left="321"/>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 Báo cáo kinh doanh và các báo cáo chi tiết đính kèm: Kiểm toán viên của công ty (hoặc, trong công ty có các Ủy ban, Ủy ban kiểm toán).</w:t>
      </w:r>
    </w:p>
    <w:p w:rsidR="003A2691" w:rsidRPr="008354C2" w:rsidRDefault="003A2691" w:rsidP="00C60B8B">
      <w:pPr>
        <w:spacing w:after="120"/>
        <w:jc w:val="both"/>
        <w:rPr>
          <w:rFonts w:ascii="Times New Roman" w:hAnsi="Times New Roman" w:cs="Times New Roman"/>
          <w:i/>
          <w:sz w:val="28"/>
          <w:szCs w:val="28"/>
          <w:lang w:val="vi-VN"/>
        </w:rPr>
      </w:pPr>
      <w:r w:rsidRPr="008354C2">
        <w:rPr>
          <w:rFonts w:ascii="Times New Roman" w:hAnsi="Times New Roman" w:cs="Times New Roman"/>
          <w:i/>
          <w:sz w:val="28"/>
          <w:szCs w:val="28"/>
          <w:lang w:val="vi-VN"/>
        </w:rPr>
        <w:t>Báo cáo tài chính và báo cáo kinh doanh, và các báo cáo chi tiết đính kèm như phụ lục được kiểm toán phải được hội đồng quản trị phê duyệt.</w:t>
      </w:r>
      <w:r w:rsidR="00172A3B" w:rsidRPr="008354C2">
        <w:rPr>
          <w:rFonts w:ascii="Times New Roman" w:hAnsi="Times New Roman" w:cs="Times New Roman"/>
          <w:i/>
          <w:sz w:val="28"/>
          <w:szCs w:val="28"/>
          <w:lang w:val="vi-VN"/>
        </w:rPr>
        <w:t>”</w:t>
      </w:r>
    </w:p>
    <w:p w:rsidR="009966D3" w:rsidRPr="008354C2" w:rsidRDefault="00FF3592" w:rsidP="004774E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 Quy định về quản trị rủi ro, kiểm tra, kiểm soát nội bộ</w:t>
      </w:r>
    </w:p>
    <w:p w:rsidR="00C60B8B" w:rsidRPr="008354C2" w:rsidRDefault="00C60B8B" w:rsidP="0048559C">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2.1. Quy định về hệ thống kiểm soát nội bộ</w:t>
      </w:r>
    </w:p>
    <w:p w:rsidR="0048559C" w:rsidRPr="008354C2" w:rsidRDefault="00C60B8B" w:rsidP="0048559C">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 xml:space="preserve">Một trong những quy định được cụ thể hóa tại nhóm chính sách này chính là quy định về hệ thống kiểm soát nội bộ. Qua nghiên cứu quy định tại một số quốc gia như Nhật Bản, Hàn Quốc, </w:t>
      </w:r>
      <w:r w:rsidR="0048559C" w:rsidRPr="008354C2">
        <w:rPr>
          <w:rFonts w:ascii="Times New Roman" w:eastAsia="Arial" w:hAnsi="Times New Roman" w:cs="Times New Roman"/>
          <w:sz w:val="28"/>
          <w:szCs w:val="28"/>
          <w:lang w:val="vi-VN"/>
        </w:rPr>
        <w:t>Đài Loan</w:t>
      </w:r>
      <w:r w:rsidRPr="008354C2">
        <w:rPr>
          <w:rFonts w:ascii="Times New Roman" w:eastAsia="Arial" w:hAnsi="Times New Roman" w:cs="Times New Roman"/>
          <w:sz w:val="28"/>
          <w:szCs w:val="28"/>
          <w:lang w:val="vi-VN"/>
        </w:rPr>
        <w:t>, các nước đều có yêu cầu các doanh nghiệp phải thực hiện hoạt động kiểm soát nội bộ và yêu cầu về điều kiện đối với người phụ trách kiểm tra, kiểm soát nội bộ.</w:t>
      </w:r>
      <w:r w:rsidR="0048559C" w:rsidRPr="008354C2">
        <w:rPr>
          <w:rFonts w:ascii="Times New Roman" w:eastAsia="Arial" w:hAnsi="Times New Roman" w:cs="Times New Roman"/>
          <w:sz w:val="28"/>
          <w:szCs w:val="28"/>
          <w:lang w:val="vi-VN"/>
        </w:rPr>
        <w:t xml:space="preserve"> Quy định cụ thể tại một số nước như sau:</w:t>
      </w:r>
    </w:p>
    <w:p w:rsidR="0048559C" w:rsidRPr="008354C2" w:rsidRDefault="0048559C" w:rsidP="0048559C">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2.1.1. Nhật Bản</w:t>
      </w:r>
    </w:p>
    <w:p w:rsidR="00C60B8B" w:rsidRPr="008354C2" w:rsidRDefault="0048559C" w:rsidP="0048559C">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Tại Nhật Bản</w:t>
      </w:r>
      <w:r w:rsidR="00C60B8B" w:rsidRPr="008354C2">
        <w:rPr>
          <w:rFonts w:ascii="Times New Roman" w:eastAsia="Arial" w:hAnsi="Times New Roman" w:cs="Times New Roman"/>
          <w:sz w:val="28"/>
          <w:szCs w:val="28"/>
          <w:lang w:val="vi-VN"/>
        </w:rPr>
        <w:t>, doanh nghiệp bảo hiểm phải có hệ thống kiểm soát nội bộ và cần cung cấp thông tin về hệ thống này cho cơ quan quản lý giám sát khi tiến hành thanh tra.</w:t>
      </w:r>
    </w:p>
    <w:p w:rsidR="0048559C" w:rsidRPr="008354C2" w:rsidRDefault="0048559C" w:rsidP="0048559C">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2.1.2. Hàn Quốc</w:t>
      </w:r>
    </w:p>
    <w:p w:rsidR="00EA6A74" w:rsidRPr="008354C2" w:rsidRDefault="00C60B8B" w:rsidP="00EA6A7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Hàn Quốc quy định phải thiết lập các tiêu chuẩn kiểm soát nội bộ và người quản trị điều hành, nhân viên của doanh nghiệp phải nghiêm túc thực hiện, bảo đảm sự lành mạnh tài sản của công ty và bảo vệ quyền lợi của người tham gia bảo hiểm.</w:t>
      </w:r>
    </w:p>
    <w:p w:rsidR="00EA6A74" w:rsidRPr="008354C2" w:rsidRDefault="00C60B8B" w:rsidP="00EA6A7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DNBH phải chỉ định ít nhất 1 người phụ trách việc giám sát thực hiện các tiêu chuẩn kiểm soát nội bộ, phát hiện các sai phạm và báo cáo cho Ủy ban kiểm toán. Việc chỉ định người phụ trách kiểm soát nội bộ phải được phê duyệt bởi Nghị quyết của HĐQT.</w:t>
      </w:r>
    </w:p>
    <w:p w:rsidR="00C60B8B" w:rsidRPr="008354C2" w:rsidRDefault="00C60B8B" w:rsidP="00EA6A7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Đồng thời, Hàn Quốc cũng quy định việc doanh nghiệp bảo hiểm phải xây dựng hệ thống kiểm soát nội bộ và đưa ra yêu cầu đối với hệ thống này như sau:</w:t>
      </w:r>
    </w:p>
    <w:p w:rsidR="00C60B8B" w:rsidRPr="008354C2" w:rsidRDefault="00C60B8B" w:rsidP="0048559C">
      <w:pPr>
        <w:spacing w:before="120"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Bao gồm các quy trình và tiêu chuẩn liên quan đến những vấn đề trọng yếu về phân công trách nhiệm và cơ cấu tổ chức của doanh nghiệp;</w:t>
      </w:r>
    </w:p>
    <w:p w:rsidR="00C60B8B" w:rsidRPr="008354C2" w:rsidRDefault="00C60B8B" w:rsidP="0048559C">
      <w:pPr>
        <w:spacing w:before="120"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Những vấn đề liên quan đến vai trò, trách nhiệm của hội đồng quản trị/hội đồng thành viên, các cấp quản lý, kiểm toán viên hoặc ban kiểm toán, nhân viên bộ phận tuân thủ và các bộ phận, cá nhân khác trong hoạt động kiểm soát nội bộ.</w:t>
      </w:r>
    </w:p>
    <w:p w:rsidR="00C60B8B" w:rsidRPr="008354C2" w:rsidRDefault="00C60B8B" w:rsidP="0048559C">
      <w:pPr>
        <w:spacing w:before="120"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Ban hành quy trình xây dựng một kênh trao đổi thông tin hiệu quả nhằm đảm bảo thông tin được gửi tới ban lãnh đạo và người lao động một cách nhanh chóng và hiệu quả nhất, đảm bảo hiểu rõ các chính sách liên quan đến vai trò và nhiệm vụ mỗi cá nhân.</w:t>
      </w:r>
    </w:p>
    <w:p w:rsidR="00C60B8B" w:rsidRPr="008354C2" w:rsidRDefault="00C60B8B" w:rsidP="0048559C">
      <w:pPr>
        <w:spacing w:before="120"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Có các biện pháp nhằm tránh các sai sót về tài chính và quy trình xử lý trong trường hợp các sai sót này xảy ra.</w:t>
      </w:r>
    </w:p>
    <w:p w:rsidR="00EA6A74" w:rsidRPr="008354C2" w:rsidRDefault="00C60B8B" w:rsidP="0048559C">
      <w:pPr>
        <w:spacing w:before="120"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Các chính sách, quy trình, hướng dẫn liên quan đến phát triển sản phẩm, tính phí bảo hiểm, phân chia thặng dư, phân bổ chi phí và các hoạt động nghiệp vụ khác tùy theo đặc điểm của mỗi doanh nghiệp.</w:t>
      </w:r>
    </w:p>
    <w:p w:rsidR="00EA6A74" w:rsidRPr="008354C2" w:rsidRDefault="00EA6A74" w:rsidP="00EA6A74">
      <w:pPr>
        <w:spacing w:before="120" w:after="120"/>
        <w:jc w:val="both"/>
        <w:rPr>
          <w:rFonts w:ascii="Times New Roman" w:eastAsia="Arial" w:hAnsi="Times New Roman" w:cs="Times New Roman"/>
          <w:b/>
          <w:sz w:val="28"/>
          <w:szCs w:val="28"/>
          <w:lang w:val="vi-VN"/>
        </w:rPr>
      </w:pPr>
      <w:r w:rsidRPr="008354C2">
        <w:rPr>
          <w:rFonts w:ascii="Times New Roman" w:eastAsia="PMingLiU" w:hAnsi="Times New Roman" w:cs="Times New Roman"/>
          <w:b/>
          <w:sz w:val="28"/>
          <w:szCs w:val="28"/>
          <w:lang w:val="vi-VN"/>
        </w:rPr>
        <w:t>2.1.3. Đài Loan</w:t>
      </w:r>
    </w:p>
    <w:p w:rsidR="00C60B8B" w:rsidRPr="008354C2" w:rsidRDefault="00EA6A74" w:rsidP="00EA6A74">
      <w:pPr>
        <w:spacing w:before="120" w:after="120"/>
        <w:jc w:val="both"/>
        <w:rPr>
          <w:rFonts w:ascii="Times New Roman" w:eastAsia="Arial" w:hAnsi="Times New Roman" w:cs="Times New Roman"/>
          <w:b/>
          <w:sz w:val="28"/>
          <w:szCs w:val="28"/>
          <w:lang w:val="vi-VN"/>
        </w:rPr>
      </w:pPr>
      <w:r w:rsidRPr="008354C2">
        <w:rPr>
          <w:rFonts w:ascii="Times New Roman" w:eastAsia="PMingLiU" w:hAnsi="Times New Roman" w:cs="Times New Roman"/>
          <w:sz w:val="28"/>
          <w:szCs w:val="28"/>
          <w:lang w:val="vi-VN"/>
        </w:rPr>
        <w:t>D</w:t>
      </w:r>
      <w:r w:rsidR="00C60B8B" w:rsidRPr="008354C2">
        <w:rPr>
          <w:rFonts w:ascii="Times New Roman" w:eastAsia="PMingLiU" w:hAnsi="Times New Roman" w:cs="Times New Roman"/>
          <w:sz w:val="28"/>
          <w:szCs w:val="28"/>
          <w:lang w:val="vi-VN"/>
        </w:rPr>
        <w:t xml:space="preserve">oanh nghiệp bảo hiểm phải thiết lập hệ thống kiểm toán và kiểm soát nội bộ. Doanh nghiệp bảo hiểm phải xây dựng quy trình và hệ thống xử lý nội bộ đối với: đánh giá chất lượng tài sản, trích lập các loại dự phòng khác nhau; giải pháp xử lý nợ quá hạn và các khoản cho vay không dồn tích (chưa trả trong 90 ngày); xóa nợ xấu; khai thác, thẩm định, giao kết hợp đồng bảo hiểm và giải quyết quyền lợi bảo hiểm. </w:t>
      </w:r>
      <w:r w:rsidR="00C60B8B" w:rsidRPr="008354C2">
        <w:rPr>
          <w:rFonts w:ascii="Times New Roman" w:eastAsia="Arial" w:hAnsi="Times New Roman" w:cs="Times New Roman"/>
          <w:sz w:val="28"/>
          <w:szCs w:val="28"/>
          <w:lang w:val="vi-VN"/>
        </w:rPr>
        <w:t>Các quy định về hệ thống, quy trình do cơ quan có thẩm quyền quy định.</w:t>
      </w:r>
    </w:p>
    <w:p w:rsidR="00EA6A74" w:rsidRPr="008354C2" w:rsidRDefault="00C60B8B" w:rsidP="00EA6A7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w:t>
      </w:r>
      <w:r w:rsidR="00EA6A74" w:rsidRPr="008354C2">
        <w:rPr>
          <w:rFonts w:ascii="Times New Roman" w:eastAsia="Arial" w:hAnsi="Times New Roman" w:cs="Times New Roman"/>
          <w:b/>
          <w:sz w:val="28"/>
          <w:szCs w:val="28"/>
          <w:lang w:val="vi-VN"/>
        </w:rPr>
        <w:t xml:space="preserve">2. </w:t>
      </w:r>
      <w:r w:rsidRPr="008354C2">
        <w:rPr>
          <w:rFonts w:ascii="Times New Roman" w:eastAsia="Arial" w:hAnsi="Times New Roman" w:cs="Times New Roman"/>
          <w:b/>
          <w:sz w:val="28"/>
          <w:szCs w:val="28"/>
          <w:lang w:val="vi-VN"/>
        </w:rPr>
        <w:t>Quy định về thành lập bộ phận kiểm toán nội bộ</w:t>
      </w:r>
    </w:p>
    <w:p w:rsidR="00C60B8B" w:rsidRPr="008354C2" w:rsidRDefault="00C47FAE" w:rsidP="00EA6A74">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2.2.1. Singapore: </w:t>
      </w:r>
      <w:r w:rsidR="00C60B8B" w:rsidRPr="008354C2">
        <w:rPr>
          <w:rFonts w:ascii="Times New Roman" w:eastAsia="Arial" w:hAnsi="Times New Roman" w:cs="Times New Roman"/>
          <w:sz w:val="28"/>
          <w:szCs w:val="28"/>
          <w:lang w:val="vi-VN"/>
        </w:rPr>
        <w:t xml:space="preserve">Cơ quản lý tiền tệ của Singapore </w:t>
      </w:r>
      <w:r w:rsidRPr="008354C2">
        <w:rPr>
          <w:rFonts w:ascii="Times New Roman" w:eastAsia="Arial" w:hAnsi="Times New Roman" w:cs="Times New Roman"/>
          <w:sz w:val="28"/>
          <w:szCs w:val="28"/>
          <w:lang w:val="vi-VN"/>
        </w:rPr>
        <w:t xml:space="preserve">yêu cầu </w:t>
      </w:r>
      <w:r w:rsidR="00C60B8B" w:rsidRPr="008354C2">
        <w:rPr>
          <w:rFonts w:ascii="Times New Roman" w:eastAsia="Calibri" w:hAnsi="Times New Roman" w:cs="Times New Roman"/>
          <w:sz w:val="28"/>
          <w:szCs w:val="28"/>
          <w:lang w:val="vi-VN"/>
        </w:rPr>
        <w:t>bộ phận KTNB độc lậ</w:t>
      </w:r>
      <w:r w:rsidRPr="008354C2">
        <w:rPr>
          <w:rFonts w:ascii="Times New Roman" w:eastAsia="Calibri" w:hAnsi="Times New Roman" w:cs="Times New Roman"/>
          <w:sz w:val="28"/>
          <w:szCs w:val="28"/>
          <w:lang w:val="vi-VN"/>
        </w:rPr>
        <w:t xml:space="preserve">p phải </w:t>
      </w:r>
      <w:r w:rsidR="00C60B8B" w:rsidRPr="008354C2">
        <w:rPr>
          <w:rFonts w:ascii="Times New Roman" w:eastAsia="Calibri" w:hAnsi="Times New Roman" w:cs="Times New Roman"/>
          <w:sz w:val="28"/>
          <w:szCs w:val="28"/>
          <w:lang w:val="vi-VN"/>
        </w:rPr>
        <w:t>báo cáo cho HĐQT hoặc Ủy ban kiểm toán của HĐQT (Audit Committee).</w:t>
      </w:r>
    </w:p>
    <w:p w:rsidR="00C47FAE" w:rsidRPr="008354C2" w:rsidRDefault="00C47FAE" w:rsidP="00C47FAE">
      <w:pPr>
        <w:spacing w:before="120" w:after="120"/>
        <w:jc w:val="both"/>
        <w:rPr>
          <w:rFonts w:ascii="Times New Roman" w:eastAsia="Arial" w:hAnsi="Times New Roman" w:cs="Times New Roman"/>
          <w:b/>
          <w:sz w:val="28"/>
          <w:szCs w:val="28"/>
          <w:lang w:val="vi-VN"/>
        </w:rPr>
      </w:pPr>
      <w:r w:rsidRPr="008354C2">
        <w:rPr>
          <w:rFonts w:ascii="Times New Roman" w:eastAsia="Calibri" w:hAnsi="Times New Roman" w:cs="Times New Roman"/>
          <w:b/>
          <w:sz w:val="28"/>
          <w:szCs w:val="28"/>
          <w:lang w:val="vi-VN"/>
        </w:rPr>
        <w:t>2.2.2. Đài Loan</w:t>
      </w:r>
      <w:r w:rsidRPr="008354C2">
        <w:rPr>
          <w:rFonts w:ascii="Times New Roman" w:eastAsia="Arial" w:hAnsi="Times New Roman" w:cs="Times New Roman"/>
          <w:b/>
          <w:sz w:val="28"/>
          <w:szCs w:val="28"/>
          <w:lang w:val="vi-VN"/>
        </w:rPr>
        <w:t xml:space="preserve">: </w:t>
      </w:r>
      <w:r w:rsidR="00C60B8B" w:rsidRPr="008354C2">
        <w:rPr>
          <w:rFonts w:ascii="Times New Roman" w:eastAsia="Arial" w:hAnsi="Times New Roman" w:cs="Times New Roman"/>
          <w:sz w:val="28"/>
          <w:szCs w:val="28"/>
          <w:lang w:val="vi-VN"/>
        </w:rPr>
        <w:t>Đài Loan yêu cầu doanh nghiệp bảo hiểm cần xây dựng hệ thống kiểm toán nội.</w:t>
      </w:r>
    </w:p>
    <w:p w:rsidR="00E16049" w:rsidRPr="008354C2" w:rsidRDefault="00C47FAE" w:rsidP="00E16049">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2.2.3. Nhật Bản: </w:t>
      </w:r>
      <w:r w:rsidR="00C60B8B" w:rsidRPr="008354C2">
        <w:rPr>
          <w:rFonts w:ascii="Times New Roman" w:eastAsia="Calibri" w:hAnsi="Times New Roman" w:cs="Times New Roman"/>
          <w:sz w:val="28"/>
          <w:szCs w:val="28"/>
          <w:lang w:val="vi-VN"/>
        </w:rPr>
        <w:t>Nhật Bản</w:t>
      </w:r>
      <w:r w:rsidR="00C60B8B" w:rsidRPr="008354C2">
        <w:rPr>
          <w:rFonts w:ascii="Times New Roman" w:eastAsia="Arial" w:hAnsi="Times New Roman" w:cs="Times New Roman"/>
          <w:sz w:val="28"/>
          <w:szCs w:val="28"/>
          <w:lang w:val="vi-VN"/>
        </w:rPr>
        <w:t xml:space="preserve"> yêu cầu doanh nghiệp bảo hiểm phải bổ nhiệm người để thực hiện chức năng kiểm toán nội và và đây là một trong những </w:t>
      </w:r>
      <w:r w:rsidR="00C60B8B" w:rsidRPr="008354C2">
        <w:rPr>
          <w:rFonts w:ascii="Times New Roman" w:eastAsia="Calibri" w:hAnsi="Times New Roman" w:cs="Times New Roman"/>
          <w:sz w:val="28"/>
          <w:szCs w:val="28"/>
          <w:lang w:val="vi-VN"/>
        </w:rPr>
        <w:t>bộ phận trọng yếu của doanh nghiệp bảo hiểm (cùng với pháp chế, actuary, quản trị rủi ro, quản trị tài chính).</w:t>
      </w:r>
      <w:r w:rsidR="00C60B8B" w:rsidRPr="008354C2">
        <w:rPr>
          <w:rFonts w:ascii="Times New Roman" w:eastAsia="Arial" w:hAnsi="Times New Roman" w:cs="Times New Roman"/>
          <w:sz w:val="28"/>
          <w:szCs w:val="28"/>
          <w:lang w:val="vi-VN"/>
        </w:rPr>
        <w:t xml:space="preserve"> Nhân sự này cần phải được cơ quan có thẩm quyền thực hiện phê chuẩn.</w:t>
      </w:r>
    </w:p>
    <w:p w:rsidR="00C60B8B" w:rsidRPr="008354C2" w:rsidRDefault="00E16049" w:rsidP="00E16049">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2.2.4. Hàn Quốc: </w:t>
      </w:r>
      <w:r w:rsidR="00C60B8B" w:rsidRPr="008354C2">
        <w:rPr>
          <w:rFonts w:ascii="Times New Roman" w:eastAsia="Arial" w:hAnsi="Times New Roman" w:cs="Times New Roman"/>
          <w:sz w:val="28"/>
          <w:szCs w:val="28"/>
          <w:lang w:val="vi-VN"/>
        </w:rPr>
        <w:t>Cơ quan quản lý bảo hiểm Hàn Quốc cũng quy định doanh nghiệp bảo hiểm phải thường xuyên tiến hành hoạt động kiểm toán nội bộ và báo cáo kết quả cho Hội đồng quản trị hoặc Ủy ban kiểm soát rủi ro</w:t>
      </w:r>
    </w:p>
    <w:p w:rsidR="00E16049" w:rsidRPr="008354C2" w:rsidRDefault="00D000DE" w:rsidP="00E16049">
      <w:pPr>
        <w:widowControl w:val="0"/>
        <w:spacing w:before="120" w:after="120"/>
        <w:jc w:val="both"/>
        <w:rPr>
          <w:rFonts w:ascii="Times New Roman" w:eastAsia="Calibri" w:hAnsi="Times New Roman" w:cs="Times New Roman"/>
          <w:sz w:val="28"/>
          <w:szCs w:val="28"/>
          <w:lang w:val="vi-VN"/>
        </w:rPr>
      </w:pPr>
      <w:r w:rsidRPr="008354C2">
        <w:rPr>
          <w:rFonts w:ascii="Times New Roman" w:eastAsia="Arial" w:hAnsi="Times New Roman" w:cs="Times New Roman"/>
          <w:b/>
          <w:sz w:val="28"/>
          <w:szCs w:val="28"/>
          <w:lang w:val="vi-VN"/>
        </w:rPr>
        <w:t>2.</w:t>
      </w:r>
      <w:r w:rsidR="0044037B" w:rsidRPr="008354C2">
        <w:rPr>
          <w:rFonts w:ascii="Times New Roman" w:eastAsia="Arial" w:hAnsi="Times New Roman" w:cs="Times New Roman"/>
          <w:b/>
          <w:sz w:val="28"/>
          <w:szCs w:val="28"/>
          <w:lang w:val="vi-VN"/>
        </w:rPr>
        <w:t xml:space="preserve">3. </w:t>
      </w:r>
      <w:r w:rsidR="00C60B8B" w:rsidRPr="008354C2">
        <w:rPr>
          <w:rFonts w:ascii="Times New Roman" w:eastAsia="Arial" w:hAnsi="Times New Roman" w:cs="Times New Roman"/>
          <w:b/>
          <w:sz w:val="28"/>
          <w:szCs w:val="28"/>
          <w:lang w:val="vi-VN"/>
        </w:rPr>
        <w:t>Quy định về quản trị rủi ro</w:t>
      </w:r>
    </w:p>
    <w:p w:rsidR="00E16049" w:rsidRPr="008354C2" w:rsidRDefault="00D000DE" w:rsidP="00E16049">
      <w:pPr>
        <w:widowControl w:val="0"/>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2.</w:t>
      </w:r>
      <w:r w:rsidR="00E16049" w:rsidRPr="008354C2">
        <w:rPr>
          <w:rFonts w:ascii="Times New Roman" w:eastAsia="Calibri" w:hAnsi="Times New Roman" w:cs="Times New Roman"/>
          <w:b/>
          <w:sz w:val="28"/>
          <w:szCs w:val="28"/>
          <w:lang w:val="vi-VN"/>
        </w:rPr>
        <w:t>3.1. Singapore</w:t>
      </w:r>
    </w:p>
    <w:p w:rsidR="00C60B8B" w:rsidRPr="008354C2" w:rsidRDefault="00C60B8B" w:rsidP="00E16049">
      <w:pPr>
        <w:widowControl w:val="0"/>
        <w:spacing w:before="120" w:after="120"/>
        <w:jc w:val="both"/>
        <w:rPr>
          <w:rFonts w:ascii="Times New Roman" w:eastAsia="Calibri" w:hAnsi="Times New Roman" w:cs="Times New Roman"/>
          <w:sz w:val="28"/>
          <w:szCs w:val="28"/>
          <w:lang w:val="vi-VN"/>
        </w:rPr>
      </w:pPr>
      <w:r w:rsidRPr="008354C2">
        <w:rPr>
          <w:rFonts w:ascii="Times New Roman" w:eastAsia="Arial" w:hAnsi="Times New Roman" w:cs="Times New Roman"/>
          <w:sz w:val="28"/>
          <w:szCs w:val="28"/>
          <w:lang w:val="vi-VN"/>
        </w:rPr>
        <w:t>Quy định về quản lý rủi ro của doanh nghiệp bảo hiểm (ERM) của Singapore:</w:t>
      </w:r>
    </w:p>
    <w:p w:rsidR="00C60B8B" w:rsidRPr="008354C2" w:rsidRDefault="00C60B8B" w:rsidP="00E16049">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Về định nghĩa: Doanh nghiệp bảo hiểm phải thiết lập khung khổ quản lý rủi ro doanh nghiệp nhằm xác định và định lượng rủi ro bằng các kỹ thuật phù hợp với bản chất, quy mô và mức độ phức tạp của doanh nghiệp; xử lý rủi ro, khả năng thanh toán và quản lý vốn.</w:t>
      </w:r>
    </w:p>
    <w:p w:rsidR="00C60B8B" w:rsidRPr="008354C2" w:rsidRDefault="00C60B8B" w:rsidP="00E16049">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Về các loại rủi ro: Các rủi ro trọng yếu của doanh nghiệp bao gồm rủi ro bảo hiểm, rủi ro thị trường, rủi ro tín dụng, rủi ro hoạt động và rủi ro thanh khoản. Ngoài ra, còn có các rủi ro có thể đoán trước và ảnh hưởng lớn đến DN như rủi ro thay đổi pháp luật và rủi ro về danh tiếng đối với doanh nghiệp.</w:t>
      </w:r>
    </w:p>
    <w:p w:rsidR="00C60B8B" w:rsidRPr="008354C2" w:rsidRDefault="00C60B8B" w:rsidP="00E16049">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Các vấn đề doanh nghiệp lưu ý khi xây dựng khung khổ quản lý rủi ro doanh nghiệp</w:t>
      </w:r>
    </w:p>
    <w:p w:rsidR="00C60B8B" w:rsidRPr="008354C2" w:rsidRDefault="00C60B8B" w:rsidP="00E16049">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Chính sách quản lý rủi ro: </w:t>
      </w:r>
    </w:p>
    <w:p w:rsidR="00C60B8B" w:rsidRPr="008354C2" w:rsidRDefault="00C60B8B" w:rsidP="0048559C">
      <w:pPr>
        <w:spacing w:before="120" w:after="120"/>
        <w:ind w:firstLine="709"/>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Mục đích: Doanh nghiêp bảo hiểm phải có chính sách quản lý rủi ro xác định các loại rủi ro phải được quản lý gồm cả trong chiến lược kinh doanh và hoạt động hàng ngày. </w:t>
      </w:r>
    </w:p>
    <w:p w:rsidR="00C60B8B" w:rsidRPr="008354C2" w:rsidRDefault="00C60B8B" w:rsidP="00D000DE">
      <w:pPr>
        <w:spacing w:before="120" w:after="120"/>
        <w:ind w:firstLine="709"/>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Những nội dung cơ bản của chính sách rủi ro cần có.</w:t>
      </w:r>
    </w:p>
    <w:p w:rsidR="008F7AD3" w:rsidRPr="008354C2" w:rsidRDefault="008F7AD3" w:rsidP="008F7AD3">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2.3.2. Nguyên tắc số 08 (ICP) - quản lý rủi ro và kiểm soát nội bộ</w:t>
      </w:r>
    </w:p>
    <w:p w:rsidR="008F7AD3" w:rsidRPr="008354C2" w:rsidRDefault="008F7AD3" w:rsidP="008F7AD3">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Theo các nguyên tắc bảo hiểm cơ bản của IAIS, nguyên tắc số 8 (ICP 8) cũng đã đề cập đến quy định về quản lý rủi ro và kiểm soát nội bộ như sau:</w:t>
      </w:r>
    </w:p>
    <w:p w:rsidR="008F7AD3" w:rsidRPr="008354C2" w:rsidRDefault="008F7AD3" w:rsidP="008F7AD3">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Hệ thống quản lý rủi ro và kiểm soát nội bộ</w:t>
      </w:r>
    </w:p>
    <w:p w:rsidR="008F7AD3" w:rsidRPr="008354C2" w:rsidRDefault="008F7AD3" w:rsidP="008F7AD3">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a) Cơ quan quản lý yêu cầu doanh nghiệp bảo hiểm thiết lập, thực hiện hệ thống quản lý rủi ro và kiểm soát nội bộ.</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Hệ thống quản lý rủi ro phải đảm bảo nhận biết, đánh giá, quản lý và báo cáo tất cả các rủi ro trọng yếu có thể xảy ra đối với doanh nghiệp bảo hiểm. Hệ thống phải xem xét đến xác suất xảy ra rủi ro, ảnh hưởng tiềm tàng và thời gian của rủi ro</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Tùy theo bản chất, quy mô và mức độ phức tạp của DNBH, hệ thống quản lý rủi ro bao gồm các yếu tố:</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Chiến lược quản lý rủi ro được thể hiện bằng văn bản, phù hợp với chiến lược kinh doanh nghiệp và hoạt động kinh doanh (bao gồm cả các hoạt động thuê ngoài);</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Mục tiêu, nguyên tắc cơ bản và trách nhiệm trong việc xử lý rủi ro trong kinh doanh và tổ chức các bộ phận của doanh nghiệp, bao gồm cả chi nhánh</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Khẩu vị rủi ro được đội ngũ quản lý, điều hành doanh nghiệp xác định rõ và được HĐQT phê duyệt;</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Quy trình bằng văn bản quy định cần có sự phê duyệt của HĐQT đối với bất kỳ sự sai lệch nào trong chiến lược quản lý rủi ro hoặc khẩu vị rủi ro và bất kỳ vấn đề lớn nào có thể phát sinh;</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Chính sách bằng văn bản bao gồm định nghĩa, các loại rủi ro lớn doanh nghiệp có thể gặp phải và mức độ chấp nhận của từng loại rủi ro (ví dụ rủi ro khai thác, rủi ro thị trường, rủi ro tín dụng, rủi ro thanh khoản, rủi ro hoạt động, rủi ro uy tín, v… và cả rủi ro nội bộ như rủi ro trong việc xác định phí, các giao dịch chuyển nhượng, v.v…). Các chính sách này đưa ra các chuẩn mực rủi ro và nghĩa vụ của từng nhân viên trong việc quản lý rủi ro bao gồm giảm rủi ro, vốn (tái bảo hiểm, hedging).</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Có quy trình và công cụ pù hợp để xác định, đánh giá, giám sát, quản lý, báo cáo về rủi ro. Những quy trình này cũng bao gồm việc lên kế hoạch cho các sự kiện ngoài ý muốn, việc kinh doanh thường xuyên và quản lý khủng hoảng;</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Định kỳ đánh giá hệ thống quản lý rủi ro để hoàn thiện và cải tiến kịp thời;</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Quan tâm đúng mức đến quản lý rủi ro doanh nghiệp với mục đích theo dõi khả năng thanh toán</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Phạm vi của hệ thống quản lý rủi ro</w:t>
      </w:r>
    </w:p>
    <w:p w:rsidR="008F7AD3" w:rsidRPr="008354C2" w:rsidRDefault="008F7AD3" w:rsidP="008F7AD3">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 xml:space="preserve">Hệ thống quản lý rủi ro cần phải bao trùm hết các rủi ro lớn, trọng yếu có thể xảy ra đối với doanh nghiệp cả ở cấp độ doanh nghiệp và cấp độ cá nhân. Hệ thống quản lý rủi ro phải phù hợp với văn hóa, đặc trưng kinh doanh của doanh nghiệp bảo hiểm. </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Chính sách rủi ro của doanh nghiệp phải được thể hiện bằng văn bản để giúp các nhân viên có thể hiểu được trách nhiệm về rủi ro của họ, giải thích mội quan hệ giữa hệ thống quản lý rủi ro với hệ thống quản trị doanh nghiệp và văn hóa doanh nghiệp.</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Định kỳ, cần có sự trao đổi và đào tạo về chính sách quản lý rủi ro.</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Việc gia tăng rủi ro cần được thông báo trong các báo cáo và báo cáo ngay trong trường hợp khẩn cấp.</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HĐQT có cách thức phù hợp để quản lý rủi ro bao gồm có quy định về nội, dung, biểu mẫu, định kỳ báo cáo rui ro của Ban giám đốc hay từng phòng ban chuyên môn. Những hoạt động vượt qua cấp độ phê duyệt của HĐQT HĐTV cần phải được HĐQT, HĐTV xem xét và phê duyệt.</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Hoạt động mới hoặc sản phẩm mới cũng phải tuân thủ theo đánh giá và phê duyệt về rủi ro của HĐQT, HĐTV, Ban giám đốc.</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Hệ thống kiểm soát nội bộ</w:t>
      </w:r>
    </w:p>
    <w:p w:rsidR="008F7AD3" w:rsidRPr="008354C2" w:rsidRDefault="008F7AD3" w:rsidP="008F7AD3">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Hệ thống kiểm soát nội bộ nhằm giám sát và quản lý công ty. Hệ thống kiểm soát nội bộ đảm bảo kiểm soát hoạt động kinh doanh thống nhất với chiến lược và khẩu vị rủi ro đã được HĐQT, HĐTV đã phê duyệt, mục tiêu kinh doanh, chính sách và quy định pháp luật.</w:t>
      </w:r>
    </w:p>
    <w:p w:rsidR="008F7AD3" w:rsidRPr="008354C2" w:rsidRDefault="008F7AD3" w:rsidP="008F7AD3">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 xml:space="preserve">Ở mức tối thiểu, hệ thống kiểm soát nội bộ phải được đảm bảo ở những hoạt động kinh doanh chính của doanh nghiệp bảo hiểm, IT, chính sách tài chính bao gồm kế toán, báo cáo tài chính và quản lý rủi ro liên quan, biện pháp tuân thủ. </w:t>
      </w:r>
    </w:p>
    <w:p w:rsidR="008F7AD3" w:rsidRPr="008354C2" w:rsidRDefault="008F7AD3" w:rsidP="008F7AD3">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HĐQT xác định chức năng nào báo cáo cho HĐQT hoặc Ủy ban của HĐQT. Báo cáo về hệ thống kiểm tra, kiểm soát nội bộ bao gồm các nội dung:</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Chiến lược về kiểm soát nội bộ;</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Các bước của kiểm soát nội bộ bao gồm phạm vi, các hoạt động kiểm tra;</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Nguồn thông tin áp dụng trong hệ thống kiểm soát nội bộ bao gồm phân tích tính phù hợp của các nguồn lực về đặc tính, quy mô, mức độ phức tạp của hoạt động DN, rủi ro và nghĩa vụ và</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Những thiếu hụt trong kiểm soát, các điểm yếu, lỗi có thể phát sinh và trách nhiệm.</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Hệ thống kiểm soát nội bộ thường bao gồm một số nội dung cơ bản:</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Kiểm soát phù hợp để đảm bảo các ghi nhận, lưu trữ kế toán chính xác và đầy đủ, bao gồm việc báo cáo cho cơ quan quản lý;</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Kiểm soát phù hợp đối với các quy trình kinh doanh và chính sách như các quyết định và giao dịch lớn kinh doanh (bao gồm giao dịch trong nội bộ tập đoàn), các chức năng cơ bản của IT, tiếp cận dữ liệu và hệ thống IT của các nhân viên và việc thực hiện nghĩa vụ theo quy định pháp luật;</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Có sự phân nhiệm và bảo đảm phân nhiệm giữa các chức vụ</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Cập nhật chính sách về việc phân quyền theo chức danh, theo số tiền, kiểm soát theo số lượng chữ ký đối với mỗi chính sách, v.v…</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Đào tạo về kiểm soát với các nhân viên</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Thực hiện kiểm tra định kỳ việc kiểm soát của hệ thống phù hợp với quản trị cung doanh nghiệp và cung cấp những yếu tố để quản lý rủi ro, xác định rủi ro, đánh giá và quản lý rủi ro.</w:t>
      </w:r>
    </w:p>
    <w:p w:rsidR="008F7AD3" w:rsidRPr="008354C2" w:rsidRDefault="008F7AD3" w:rsidP="008F7AD3">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b) Cơ quan quản lý yêu cầu doanh nghiệp phải có hệ thống kiểm soát hiệu quả với thẩm quyền, mức độ độc lập và nguồn lực cần thiết</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Là một phần của hệ thống quản lý rủi ro và kiểm soát nội bộ, doanh nghiệp bảo hiểm phải có các chức năng kiểm soát bao gồm quản lý rủi ro, tuân thủ, các vấn đề về tính toán và kiểm toán nội bộ.</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Các chức năng kiểm soát (trừ chức năng kiểm toán nội bộ) phải do kiểm toán nội bộ hoặc tổ chức bên ngoài định kỳ đánh giá lại. Kiểm toán nội bộ thì phải được đánh giá bởi tổ chức đánh giá bên ngoài.</w:t>
      </w:r>
    </w:p>
    <w:p w:rsidR="008F7AD3" w:rsidRPr="008354C2" w:rsidRDefault="008F7AD3" w:rsidP="008F7AD3">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c) Cơ quan quản lý yêu cầu DNBH phải có chức năng quản lý rủi ro để phát hiện, đánh giá, quản lý và báo cáo rủi ro kịp thời</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Báo cáo đánh giá rủi ro gồm các nội dung như:</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Đánh giá rủi ro và các bước cần thiết để quản lý;</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Đánh giá những thay đổi rủi ro của doanh nghiệp;</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Đánh giá các giới hạn rủi ro;</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Đánh giá các sự kiện rủi ro và xác định các hoạt động khắc phục phù hợp.</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Trưởng bộ phận quản lý rủi ro phải có trách nhiệm thông báo cho HĐQT ngay lập tức bất kỳ thay đổi trọng yếu nào vệ thống quản lý rủi ro của doanh nghiệp bảo hiểm.</w:t>
      </w:r>
    </w:p>
    <w:p w:rsidR="008F7AD3" w:rsidRPr="008354C2" w:rsidRDefault="008F7AD3" w:rsidP="008F7AD3">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Hoạt động chính của bộ phận/chức năng quản lý rủi ro</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Hỗ trợ HĐQT, HĐTV, Ban giám đốc trong việc phân tích và thực hiện nhiệm vụ của họ về khía cạnh rủi ro;</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Xác định các rủi ro của DNBH;</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Đánh gía, tập hợp và quản lý rủi ro bao gồm việc đánh giá khả năng chịu đựng rủi ro của doanh nghiệp</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Đánh giá rủi ro theo trong và ngoài doanh nghiệp, bao gồm việc đánh giá rủi ro từ khía cạnh khác nhau, theo lãnh thổ, theo nghiệp vụ bảo hiểm;</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Đánh giá rủi ro về chính sách chi trả lương thưởng;</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Định kỳ đánh giá sức chịu đựng rủi ro theo chuẩn mực ICP 16;</w:t>
      </w:r>
    </w:p>
    <w:p w:rsidR="008F7AD3" w:rsidRPr="008354C2" w:rsidRDefault="008F7AD3" w:rsidP="008F7AD3">
      <w:pPr>
        <w:spacing w:after="120"/>
        <w:ind w:firstLine="7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Báo cáo về những thay đổi lớn ảnh hưởng đến hệ thống quản lý rủi ro đến HĐQT, HĐTV</w:t>
      </w:r>
    </w:p>
    <w:p w:rsidR="008F7AD3" w:rsidRPr="008354C2" w:rsidRDefault="008F7AD3" w:rsidP="008F7AD3">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d) Cơ quan quản lý yêu cầu doanh nghiệp có chức năng kiểm soát tuân thủ tốt để hỗ trợ doanh nghiệp đáp ứng quy định pháp lý và thúc đẩy thực hiện văn hóa doanh nghiệp tuân thủ và thống nhất</w:t>
      </w:r>
    </w:p>
    <w:p w:rsidR="008F7AD3" w:rsidRPr="008354C2" w:rsidRDefault="008F7AD3" w:rsidP="008F7AD3">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e) Cơ quan quản lý yêu cầu doanh nghiệp phải thực hiện chức năng tính toán bảo hiểm trong đó đưa ra được việc trích lập dự phòng tối thiểu, hoạt động định phí phù hợp với yêu cầu quản lý và giám sát của cơ quan quản lý.</w:t>
      </w:r>
    </w:p>
    <w:p w:rsidR="008F7AD3" w:rsidRPr="008354C2" w:rsidRDefault="008F7AD3" w:rsidP="008F7AD3">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sz w:val="28"/>
          <w:szCs w:val="28"/>
          <w:lang w:val="vi-VN"/>
        </w:rPr>
        <w:t xml:space="preserve">Theo đó, IAIS đưa các chức năng cơ bản của phòng định phí và điều kiện của chuyên gia tính toán. </w:t>
      </w:r>
    </w:p>
    <w:p w:rsidR="00D000DE" w:rsidRPr="008354C2" w:rsidRDefault="008F7AD3" w:rsidP="008F7AD3">
      <w:pPr>
        <w:spacing w:after="120"/>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f) Cơ quan quản lý yêu cầu doanh nghiệp phải có chức năng kiểm toán nội bộ để giúp HĐQT, HĐTV có đánh giá độc lập về quản trị, bao gồm cả quản lý rủi ro và kiểm soát nội bộ.</w:t>
      </w:r>
    </w:p>
    <w:p w:rsidR="00E61961" w:rsidRPr="008354C2" w:rsidRDefault="006F1A0F" w:rsidP="004774EE">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 Quy định về công khai, báo cáo thông tin</w:t>
      </w:r>
    </w:p>
    <w:p w:rsidR="00D51E55" w:rsidRPr="008354C2" w:rsidRDefault="00D51E55" w:rsidP="00D51E55">
      <w:pPr>
        <w:spacing w:before="120" w:after="120" w:line="240" w:lineRule="auto"/>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3.1. Quy định về nguyên tắc công khai thông tin</w:t>
      </w:r>
    </w:p>
    <w:p w:rsidR="001D66CE" w:rsidRPr="008354C2" w:rsidRDefault="001D66CE" w:rsidP="001D66CE">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Theo các nguyên tắc bảo hiểm cơ bản của IAIS, nguyên tắc số 20 (ICP 20) đã đề cập đến quy định về công khai thông tin như sau:</w:t>
      </w:r>
    </w:p>
    <w:p w:rsidR="00D51E55" w:rsidRPr="008354C2" w:rsidRDefault="00D51E55" w:rsidP="00D51E55">
      <w:pPr>
        <w:spacing w:before="120" w:after="120"/>
        <w:jc w:val="both"/>
        <w:rPr>
          <w:rFonts w:ascii="Times New Roman" w:eastAsia="Arial" w:hAnsi="Times New Roman" w:cs="Times New Roman"/>
          <w:sz w:val="28"/>
          <w:szCs w:val="28"/>
          <w:lang w:val="vi-VN"/>
        </w:rPr>
      </w:pPr>
      <w:r w:rsidRPr="008354C2">
        <w:rPr>
          <w:rFonts w:ascii="Times New Roman" w:eastAsia="Calibri" w:hAnsi="Times New Roman" w:cs="Times New Roman"/>
          <w:b/>
          <w:sz w:val="28"/>
          <w:szCs w:val="28"/>
          <w:lang w:val="it-IT"/>
        </w:rPr>
        <w:t>ICP 20</w:t>
      </w:r>
      <w:r w:rsidR="007A2506" w:rsidRPr="008354C2">
        <w:rPr>
          <w:rFonts w:ascii="Times New Roman" w:eastAsia="Calibri" w:hAnsi="Times New Roman" w:cs="Times New Roman"/>
          <w:b/>
          <w:sz w:val="28"/>
          <w:szCs w:val="28"/>
          <w:lang w:val="it-IT"/>
        </w:rPr>
        <w:t xml:space="preserve">: </w:t>
      </w:r>
      <w:r w:rsidRPr="008354C2">
        <w:rPr>
          <w:rFonts w:ascii="Times New Roman" w:eastAsia="Calibri" w:hAnsi="Times New Roman" w:cs="Times New Roman"/>
          <w:sz w:val="28"/>
          <w:szCs w:val="28"/>
          <w:lang w:val="it-IT"/>
        </w:rPr>
        <w:t xml:space="preserve"> yêu cầu doanh nghiệp bảo hiểm (DNBH) công bố thông tin liên quan và toàn diện kịp thời để cung cấp cho các bên tham gia hợp đồng bảo hiểm và các bên tham gia thị trường, giúp các bên liên quan có cái nhìn rõ ràng về hoạt động kinh doanh, rủi ro, kết quả hoạt động và tình hình tài chính của DNBH.</w:t>
      </w:r>
    </w:p>
    <w:p w:rsidR="00D51E55" w:rsidRPr="008354C2" w:rsidRDefault="00D51E55" w:rsidP="00D51E55">
      <w:pPr>
        <w:spacing w:before="120" w:after="120"/>
        <w:jc w:val="both"/>
        <w:rPr>
          <w:rFonts w:ascii="Times New Roman" w:eastAsia="Calibri" w:hAnsi="Times New Roman" w:cs="Times New Roman"/>
          <w:sz w:val="28"/>
          <w:szCs w:val="28"/>
          <w:lang w:val="it-IT"/>
        </w:rPr>
      </w:pPr>
      <w:r w:rsidRPr="008354C2">
        <w:rPr>
          <w:rFonts w:ascii="Times New Roman" w:eastAsia="Calibri" w:hAnsi="Times New Roman" w:cs="Times New Roman"/>
          <w:b/>
          <w:sz w:val="28"/>
          <w:szCs w:val="28"/>
          <w:lang w:val="it-IT"/>
        </w:rPr>
        <w:t>ICP 20.0.1</w:t>
      </w:r>
      <w:r w:rsidRPr="008354C2">
        <w:rPr>
          <w:rFonts w:ascii="Times New Roman" w:eastAsia="Calibri" w:hAnsi="Times New Roman" w:cs="Times New Roman"/>
          <w:sz w:val="28"/>
          <w:szCs w:val="28"/>
          <w:lang w:val="it-IT"/>
        </w:rPr>
        <w:t xml:space="preserve">: Việc công khai thông tin quan trọng được kỳ vọng sẽ tăng cường kỷ luật thị trường bằng cách cung cấp thông tin hữu ích và có ý nghĩa cho các chủ hợp đồng để đưa ra quyết định về việc bảo hiểm với công ty bảo hiểm và các bên liên quan khi đưa ra quyết định. </w:t>
      </w:r>
    </w:p>
    <w:p w:rsidR="00D51E55" w:rsidRPr="008354C2" w:rsidRDefault="00D51E55" w:rsidP="00D51E55">
      <w:pPr>
        <w:spacing w:before="120" w:after="120"/>
        <w:jc w:val="both"/>
        <w:rPr>
          <w:rFonts w:ascii="Times New Roman" w:eastAsia="Arial" w:hAnsi="Times New Roman" w:cs="Times New Roman"/>
          <w:b/>
          <w:sz w:val="28"/>
          <w:szCs w:val="28"/>
          <w:lang w:val="it-IT"/>
        </w:rPr>
      </w:pPr>
      <w:r w:rsidRPr="008354C2">
        <w:rPr>
          <w:rFonts w:ascii="Times New Roman" w:eastAsia="Arial" w:hAnsi="Times New Roman" w:cs="Times New Roman"/>
          <w:b/>
          <w:sz w:val="28"/>
          <w:szCs w:val="28"/>
          <w:lang w:val="it-IT"/>
        </w:rPr>
        <w:t>3.2. Quy định về công khai thông tin định kỳ, thường xuyên, và bất thường</w:t>
      </w:r>
    </w:p>
    <w:p w:rsidR="00D51E55" w:rsidRPr="008354C2" w:rsidRDefault="00D51E55" w:rsidP="00D51E55">
      <w:pPr>
        <w:spacing w:before="120" w:after="120"/>
        <w:jc w:val="both"/>
        <w:rPr>
          <w:rFonts w:ascii="Times New Roman" w:eastAsia="Calibri" w:hAnsi="Times New Roman" w:cs="Times New Roman"/>
          <w:sz w:val="28"/>
          <w:szCs w:val="28"/>
          <w:lang w:val="it-IT"/>
        </w:rPr>
      </w:pPr>
      <w:r w:rsidRPr="008354C2">
        <w:rPr>
          <w:rFonts w:ascii="Times New Roman" w:eastAsia="Calibri" w:hAnsi="Times New Roman" w:cs="Times New Roman"/>
          <w:b/>
          <w:sz w:val="28"/>
          <w:szCs w:val="28"/>
          <w:lang w:val="it-IT"/>
        </w:rPr>
        <w:t>ICP 20.2</w:t>
      </w:r>
      <w:r w:rsidRPr="008354C2">
        <w:rPr>
          <w:rFonts w:ascii="Times New Roman" w:eastAsia="Calibri" w:hAnsi="Times New Roman" w:cs="Times New Roman"/>
          <w:sz w:val="28"/>
          <w:szCs w:val="28"/>
          <w:lang w:val="it-IT"/>
        </w:rPr>
        <w:t>: Các công ty bảo hiểm công khai ít nhất hàng năm và theo cách có thể truy cập công khai, thông tin chi tiết, thích hợp về báo cáo tài chính, rủi ro bảo hiểm, rủi ro thanh khoản, công cụ tài chính và khoản đầu tư, an toàn vốn, cấu trúc/nội dung hoạt động kinh doanh/mục tiêu/chiến lược của doanh nghiệp, khung quản trị doanh nghiệp...</w:t>
      </w:r>
    </w:p>
    <w:p w:rsidR="007A2506" w:rsidRPr="008354C2" w:rsidRDefault="00D51E55" w:rsidP="007A2506">
      <w:pPr>
        <w:spacing w:before="120" w:after="120"/>
        <w:jc w:val="both"/>
        <w:rPr>
          <w:rFonts w:ascii="Times New Roman" w:eastAsia="Calibri" w:hAnsi="Times New Roman" w:cs="Times New Roman"/>
          <w:sz w:val="28"/>
          <w:szCs w:val="28"/>
          <w:lang w:val="vi-VN"/>
        </w:rPr>
      </w:pPr>
      <w:r w:rsidRPr="008354C2">
        <w:rPr>
          <w:rFonts w:ascii="Times New Roman" w:eastAsia="Arial" w:hAnsi="Times New Roman" w:cs="Times New Roman"/>
          <w:b/>
          <w:sz w:val="28"/>
          <w:szCs w:val="28"/>
          <w:lang w:val="it-IT"/>
        </w:rPr>
        <w:t xml:space="preserve">ICP </w:t>
      </w:r>
      <w:r w:rsidRPr="008354C2">
        <w:rPr>
          <w:rFonts w:ascii="Times New Roman" w:eastAsia="Arial" w:hAnsi="Times New Roman" w:cs="Times New Roman"/>
          <w:b/>
          <w:sz w:val="28"/>
          <w:szCs w:val="28"/>
          <w:lang w:val="vi-VN"/>
        </w:rPr>
        <w:t>20.2.3</w:t>
      </w:r>
      <w:r w:rsidRPr="008354C2">
        <w:rPr>
          <w:rFonts w:ascii="Times New Roman" w:eastAsia="Arial" w:hAnsi="Times New Roman" w:cs="Times New Roman"/>
          <w:sz w:val="28"/>
          <w:szCs w:val="28"/>
          <w:lang w:val="it-IT"/>
        </w:rPr>
        <w:t>:</w:t>
      </w:r>
      <w:r w:rsidRPr="008354C2">
        <w:rPr>
          <w:rFonts w:ascii="Times New Roman" w:eastAsia="Arial" w:hAnsi="Times New Roman" w:cs="Times New Roman"/>
          <w:sz w:val="28"/>
          <w:szCs w:val="28"/>
          <w:lang w:val="vi-VN"/>
        </w:rPr>
        <w:t xml:space="preserve"> Thông tin cần được cung cấp đủ tần suất và kịp thời để đưa ra bức tranh có ý nghĩa về doanh nghiệp bảo hiểm cho các bên tham gia hợp đồng bảo hiểm và các bên tham gia thị trường. Tính kịp thời sẽ cần được cân bằng với độ tin cậy.</w:t>
      </w:r>
    </w:p>
    <w:p w:rsidR="00D51E55" w:rsidRPr="008354C2" w:rsidRDefault="007A2506" w:rsidP="007A2506">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3.2.</w:t>
      </w:r>
      <w:r w:rsidR="001D66CE" w:rsidRPr="008354C2">
        <w:rPr>
          <w:rFonts w:ascii="Times New Roman" w:eastAsia="Calibri" w:hAnsi="Times New Roman" w:cs="Times New Roman"/>
          <w:b/>
          <w:sz w:val="28"/>
          <w:szCs w:val="28"/>
          <w:lang w:val="vi-VN"/>
        </w:rPr>
        <w:t>1</w:t>
      </w:r>
      <w:r w:rsidRPr="008354C2">
        <w:rPr>
          <w:rFonts w:ascii="Times New Roman" w:eastAsia="Calibri" w:hAnsi="Times New Roman" w:cs="Times New Roman"/>
          <w:b/>
          <w:sz w:val="28"/>
          <w:szCs w:val="28"/>
          <w:lang w:val="vi-VN"/>
        </w:rPr>
        <w:t xml:space="preserve">. Quy định </w:t>
      </w:r>
      <w:r w:rsidR="00861CDD" w:rsidRPr="008354C2">
        <w:rPr>
          <w:rFonts w:ascii="Times New Roman" w:eastAsia="Calibri" w:hAnsi="Times New Roman" w:cs="Times New Roman"/>
          <w:b/>
          <w:sz w:val="28"/>
          <w:szCs w:val="28"/>
          <w:lang w:val="vi-VN"/>
        </w:rPr>
        <w:t>về</w:t>
      </w:r>
      <w:r w:rsidRPr="008354C2">
        <w:rPr>
          <w:rFonts w:ascii="Times New Roman" w:eastAsia="Calibri" w:hAnsi="Times New Roman" w:cs="Times New Roman"/>
          <w:b/>
          <w:sz w:val="28"/>
          <w:szCs w:val="28"/>
          <w:lang w:val="vi-VN"/>
        </w:rPr>
        <w:t xml:space="preserve"> công khai thông tin đối với</w:t>
      </w:r>
      <w:r w:rsidR="00D51E55" w:rsidRPr="008354C2">
        <w:rPr>
          <w:rFonts w:ascii="Times New Roman" w:eastAsia="Arial" w:hAnsi="Times New Roman" w:cs="Times New Roman"/>
          <w:b/>
          <w:i/>
          <w:sz w:val="28"/>
          <w:szCs w:val="28"/>
          <w:lang w:val="vi-VN"/>
        </w:rPr>
        <w:t xml:space="preserve"> Nhóm thông tin về tổ chức hoạt động, quản trị doanh nghiệp</w:t>
      </w:r>
    </w:p>
    <w:p w:rsidR="00D51E55" w:rsidRPr="008354C2" w:rsidRDefault="00D51E55" w:rsidP="00861CDD">
      <w:pPr>
        <w:spacing w:before="120" w:after="120"/>
        <w:jc w:val="both"/>
        <w:rPr>
          <w:rFonts w:ascii="Times New Roman" w:eastAsia="Calibri" w:hAnsi="Times New Roman" w:cs="Times New Roman"/>
          <w:sz w:val="28"/>
          <w:szCs w:val="28"/>
          <w:lang w:val="it-IT"/>
        </w:rPr>
      </w:pPr>
      <w:r w:rsidRPr="008354C2">
        <w:rPr>
          <w:rFonts w:ascii="Times New Roman" w:eastAsia="Calibri" w:hAnsi="Times New Roman" w:cs="Times New Roman"/>
          <w:sz w:val="28"/>
          <w:szCs w:val="28"/>
          <w:lang w:val="it-IT"/>
        </w:rPr>
        <w:t>+ ICP 20.3: Cung cấp thông tin về hồ sơ doanh nghiệp bao gồm nội dung hoạt động kinh doanh, cấu trúc của DNBH, các mảng kinh doanh chính, mục tiêu và chiến lược để đạt được mục tiêu.</w:t>
      </w:r>
    </w:p>
    <w:p w:rsidR="00D51E55" w:rsidRPr="008354C2" w:rsidRDefault="00D51E55" w:rsidP="00861CDD">
      <w:pPr>
        <w:spacing w:before="120" w:after="120"/>
        <w:jc w:val="both"/>
        <w:rPr>
          <w:rFonts w:ascii="Times New Roman" w:eastAsia="Calibri" w:hAnsi="Times New Roman" w:cs="Times New Roman"/>
          <w:sz w:val="28"/>
          <w:szCs w:val="28"/>
          <w:lang w:val="it-IT"/>
        </w:rPr>
      </w:pPr>
      <w:r w:rsidRPr="008354C2">
        <w:rPr>
          <w:rFonts w:ascii="Times New Roman" w:eastAsia="Calibri" w:hAnsi="Times New Roman" w:cs="Times New Roman"/>
          <w:sz w:val="28"/>
          <w:szCs w:val="28"/>
          <w:lang w:val="it-IT"/>
        </w:rPr>
        <w:t xml:space="preserve">+ ICP 20.3.3 Cung cấp thông tin về doanh nghiệp có thể bao gồm thông tin về cơ cấu doanh nghiệp, bao gồm bất kỳ thay đổi trọng yếu nào đã diễn ra trong năm. </w:t>
      </w:r>
    </w:p>
    <w:p w:rsidR="00D51E55" w:rsidRPr="008354C2" w:rsidRDefault="00D51E55" w:rsidP="00861CDD">
      <w:pPr>
        <w:spacing w:before="120" w:after="120"/>
        <w:jc w:val="both"/>
        <w:rPr>
          <w:rFonts w:ascii="Times New Roman" w:eastAsia="Calibri" w:hAnsi="Times New Roman" w:cs="Times New Roman"/>
          <w:sz w:val="28"/>
          <w:szCs w:val="28"/>
          <w:lang w:val="it-IT"/>
        </w:rPr>
      </w:pPr>
      <w:r w:rsidRPr="008354C2">
        <w:rPr>
          <w:rFonts w:ascii="Times New Roman" w:eastAsia="Calibri" w:hAnsi="Times New Roman" w:cs="Times New Roman"/>
          <w:sz w:val="28"/>
          <w:szCs w:val="28"/>
          <w:lang w:val="it-IT"/>
        </w:rPr>
        <w:t xml:space="preserve">+ ICP 20.4: Cung cấp thông tin liên quan đến khung quản trị công ty bao  gồm kiểm soát nội bộ, quản lý rủi ro và cách thức thực hiện. </w:t>
      </w:r>
    </w:p>
    <w:p w:rsidR="00D51E55" w:rsidRPr="008354C2" w:rsidRDefault="00861CDD" w:rsidP="00861CDD">
      <w:pPr>
        <w:spacing w:before="120" w:after="120"/>
        <w:jc w:val="both"/>
        <w:rPr>
          <w:rFonts w:ascii="Times New Roman" w:eastAsia="Arial" w:hAnsi="Times New Roman" w:cs="Times New Roman"/>
          <w:b/>
          <w:i/>
          <w:sz w:val="28"/>
          <w:szCs w:val="28"/>
          <w:lang w:val="it-IT"/>
        </w:rPr>
      </w:pPr>
      <w:r w:rsidRPr="008354C2">
        <w:rPr>
          <w:rFonts w:ascii="Times New Roman" w:eastAsia="Arial" w:hAnsi="Times New Roman" w:cs="Times New Roman"/>
          <w:b/>
          <w:sz w:val="28"/>
          <w:szCs w:val="28"/>
          <w:lang w:val="it-IT"/>
        </w:rPr>
        <w:t>3.2.</w:t>
      </w:r>
      <w:r w:rsidR="001D66CE" w:rsidRPr="008354C2">
        <w:rPr>
          <w:rFonts w:ascii="Times New Roman" w:eastAsia="Arial" w:hAnsi="Times New Roman" w:cs="Times New Roman"/>
          <w:b/>
          <w:sz w:val="28"/>
          <w:szCs w:val="28"/>
          <w:lang w:val="it-IT"/>
        </w:rPr>
        <w:t>2</w:t>
      </w:r>
      <w:r w:rsidRPr="008354C2">
        <w:rPr>
          <w:rFonts w:ascii="Times New Roman" w:eastAsia="Arial" w:hAnsi="Times New Roman" w:cs="Times New Roman"/>
          <w:b/>
          <w:sz w:val="28"/>
          <w:szCs w:val="28"/>
          <w:lang w:val="it-IT"/>
        </w:rPr>
        <w:t xml:space="preserve">. Quy định về công khai thông tin đối với </w:t>
      </w:r>
      <w:r w:rsidR="00D51E55" w:rsidRPr="008354C2">
        <w:rPr>
          <w:rFonts w:ascii="Times New Roman" w:eastAsia="Arial" w:hAnsi="Times New Roman" w:cs="Times New Roman"/>
          <w:b/>
          <w:i/>
          <w:sz w:val="28"/>
          <w:szCs w:val="28"/>
          <w:lang w:val="it-IT"/>
        </w:rPr>
        <w:t>Nhóm thông tin về tài chính, thanh khoản, quản trị rủi ro</w:t>
      </w:r>
    </w:p>
    <w:p w:rsidR="00D51E55" w:rsidRPr="008354C2" w:rsidRDefault="00D51E55" w:rsidP="00861CDD">
      <w:pPr>
        <w:spacing w:before="120" w:after="120"/>
        <w:jc w:val="both"/>
        <w:rPr>
          <w:rFonts w:ascii="Times New Roman" w:eastAsia="Calibri" w:hAnsi="Times New Roman" w:cs="Times New Roman"/>
          <w:sz w:val="28"/>
          <w:szCs w:val="28"/>
          <w:lang w:val="it-IT"/>
        </w:rPr>
      </w:pPr>
      <w:r w:rsidRPr="008354C2">
        <w:rPr>
          <w:rFonts w:ascii="Times New Roman" w:eastAsia="Calibri" w:hAnsi="Times New Roman" w:cs="Times New Roman"/>
          <w:sz w:val="28"/>
          <w:szCs w:val="28"/>
          <w:lang w:val="it-IT"/>
        </w:rPr>
        <w:t>+ ICP 20.1: Báo cáo tài chính: Tùy theo tính chất, quy mô và mức độ phức tạp, doanh nghiệp bảo hiểm phải lập báo cáo tài chính đã được kiểm toán ít nhất hàng năm.</w:t>
      </w:r>
    </w:p>
    <w:p w:rsidR="00D51E55" w:rsidRPr="008354C2" w:rsidRDefault="00D51E55" w:rsidP="00861CDD">
      <w:pPr>
        <w:spacing w:before="120" w:after="120"/>
        <w:jc w:val="both"/>
        <w:rPr>
          <w:rFonts w:ascii="Times New Roman" w:eastAsia="Calibri" w:hAnsi="Times New Roman" w:cs="Times New Roman"/>
          <w:sz w:val="28"/>
          <w:szCs w:val="28"/>
          <w:lang w:val="it-IT"/>
        </w:rPr>
      </w:pPr>
      <w:r w:rsidRPr="008354C2">
        <w:rPr>
          <w:rFonts w:ascii="Times New Roman" w:eastAsia="Calibri" w:hAnsi="Times New Roman" w:cs="Times New Roman"/>
          <w:sz w:val="28"/>
          <w:szCs w:val="28"/>
          <w:lang w:val="it-IT"/>
        </w:rPr>
        <w:t>+ ICP 20.6: Rủi ro bảo hiểm: yêu cầu công bố thông tin về rủi ro có thể lường trước được một cách hợp lý của công ty bảo hiểm và việc quản lý, bao gồm thông tin về: bản chất, quy mô và mức độ phức tạp của các rủi ro phát sinh từ các hợp đồng bảo hiểm; các mục tiêu và chính sách quản lý rủi ro của công ty bảo hiểm; các mô hình và kỹ thuật quản lý rủi ro bảo hiểm; sử dụng tái bảo hiểm hoặc các hình thức chuyển giao rủi ro khác; và mức độ rủi ro bảo hiểm.</w:t>
      </w:r>
    </w:p>
    <w:p w:rsidR="00D51E55" w:rsidRPr="008354C2" w:rsidRDefault="00D51E55" w:rsidP="00861CDD">
      <w:pPr>
        <w:spacing w:before="120" w:after="120"/>
        <w:jc w:val="both"/>
        <w:rPr>
          <w:rFonts w:ascii="Times New Roman" w:eastAsia="Calibri" w:hAnsi="Times New Roman" w:cs="Times New Roman"/>
          <w:sz w:val="28"/>
          <w:szCs w:val="28"/>
          <w:lang w:val="it-IT"/>
        </w:rPr>
      </w:pPr>
      <w:r w:rsidRPr="008354C2">
        <w:rPr>
          <w:rFonts w:ascii="Times New Roman" w:eastAsia="Calibri" w:hAnsi="Times New Roman" w:cs="Times New Roman"/>
          <w:sz w:val="28"/>
          <w:szCs w:val="28"/>
          <w:lang w:val="it-IT"/>
        </w:rPr>
        <w:t>+ ICP 20.11, 20.12: Rủi ro thanh khoản và hoạt động tài chính: yêu cầu công bố thông tin về rủi ro thanh khoản của công ty bảo hiểm phải bao gồm đủ thông tin định lượng và định tính để cho phép những người tham gia thị trường đánh giá có ý nghĩa về rủi ro thanh khoản trọng yếu của công ty bảo hiểm. Việc cung cấp thông tin cần dựa dựa trên việc trao đổi/tham khảo các xu hướng đã biết, các cam kết quan trọng, các sự kiện có thể dự đoán trước một cách hợp lý có thể dẫn đến tình trạng thanh khoản của công ty bảo hiểm được cải thiện hoặc xấu đi.</w:t>
      </w:r>
    </w:p>
    <w:p w:rsidR="00D51E55" w:rsidRPr="008354C2" w:rsidRDefault="00D51E55" w:rsidP="00861CDD">
      <w:pPr>
        <w:spacing w:before="120" w:after="120"/>
        <w:jc w:val="both"/>
        <w:rPr>
          <w:rFonts w:ascii="Times New Roman" w:eastAsia="Arial" w:hAnsi="Times New Roman" w:cs="Times New Roman"/>
          <w:sz w:val="28"/>
          <w:szCs w:val="28"/>
          <w:lang w:val="it-IT"/>
        </w:rPr>
      </w:pPr>
      <w:r w:rsidRPr="008354C2">
        <w:rPr>
          <w:rFonts w:ascii="Times New Roman" w:eastAsia="Calibri" w:hAnsi="Times New Roman" w:cs="Times New Roman"/>
          <w:sz w:val="28"/>
          <w:szCs w:val="28"/>
          <w:lang w:val="it-IT"/>
        </w:rPr>
        <w:t>+ ICP 20.7, 20.8: Công cụ tài chính và các khoản đầu tư, rủi ro đầu tư:</w:t>
      </w:r>
      <w:r w:rsidRPr="008354C2">
        <w:rPr>
          <w:rFonts w:ascii="Times New Roman" w:eastAsia="Calibri" w:hAnsi="Times New Roman" w:cs="Times New Roman"/>
          <w:sz w:val="28"/>
          <w:szCs w:val="28"/>
          <w:u w:val="single"/>
          <w:lang w:val="it-IT"/>
        </w:rPr>
        <w:t xml:space="preserve"> </w:t>
      </w:r>
      <w:r w:rsidRPr="008354C2">
        <w:rPr>
          <w:rFonts w:ascii="Times New Roman" w:eastAsia="Arial" w:hAnsi="Times New Roman" w:cs="Times New Roman"/>
          <w:sz w:val="28"/>
          <w:szCs w:val="28"/>
          <w:lang w:val="it-IT"/>
        </w:rPr>
        <w:t>yêu cầu việc công khai thông tin gồm thông tin về các công cụ và khoản đầu tư theo loại; các mục tiêu, chính sách và quy trình quản lý đầu tư; và các giá trị, giả định và phương pháp được sử dụng cho mục đích chung của báo cáo tài chính và khả năng thanh toán, cũng như giải thích về bất kỳ sự khác biệt nào.</w:t>
      </w:r>
    </w:p>
    <w:p w:rsidR="00D51E55" w:rsidRPr="008354C2" w:rsidRDefault="00861CDD" w:rsidP="00861CDD">
      <w:pPr>
        <w:spacing w:before="120" w:after="120"/>
        <w:jc w:val="both"/>
        <w:rPr>
          <w:rFonts w:ascii="Arial" w:eastAsia="Arial" w:hAnsi="Arial" w:cs="Times New Roman"/>
          <w:b/>
          <w:i/>
          <w:sz w:val="28"/>
          <w:szCs w:val="28"/>
          <w:lang w:val="it-IT"/>
        </w:rPr>
      </w:pPr>
      <w:r w:rsidRPr="008354C2">
        <w:rPr>
          <w:rFonts w:ascii="Times New Roman" w:eastAsia="Arial" w:hAnsi="Times New Roman" w:cs="Times New Roman"/>
          <w:b/>
          <w:sz w:val="28"/>
          <w:szCs w:val="28"/>
          <w:lang w:val="it-IT"/>
        </w:rPr>
        <w:t>3.2.</w:t>
      </w:r>
      <w:r w:rsidR="001D66CE" w:rsidRPr="008354C2">
        <w:rPr>
          <w:rFonts w:ascii="Times New Roman" w:eastAsia="Arial" w:hAnsi="Times New Roman" w:cs="Times New Roman"/>
          <w:b/>
          <w:sz w:val="28"/>
          <w:szCs w:val="28"/>
          <w:lang w:val="it-IT"/>
        </w:rPr>
        <w:t>3</w:t>
      </w:r>
      <w:r w:rsidRPr="008354C2">
        <w:rPr>
          <w:rFonts w:ascii="Times New Roman" w:eastAsia="Arial" w:hAnsi="Times New Roman" w:cs="Times New Roman"/>
          <w:b/>
          <w:sz w:val="28"/>
          <w:szCs w:val="28"/>
          <w:lang w:val="it-IT"/>
        </w:rPr>
        <w:t xml:space="preserve">. Quy định về công khai thông tin đối với </w:t>
      </w:r>
      <w:r w:rsidR="00D51E55" w:rsidRPr="008354C2">
        <w:rPr>
          <w:rFonts w:ascii="Times New Roman" w:eastAsia="Arial" w:hAnsi="Times New Roman" w:cs="Times New Roman"/>
          <w:b/>
          <w:i/>
          <w:sz w:val="28"/>
          <w:szCs w:val="28"/>
          <w:lang w:val="it-IT"/>
        </w:rPr>
        <w:t>Nhóm thông tin về an toàn vốn</w:t>
      </w:r>
    </w:p>
    <w:p w:rsidR="00D51E55" w:rsidRPr="008354C2" w:rsidRDefault="00D51E55" w:rsidP="001D4F97">
      <w:pPr>
        <w:spacing w:before="120" w:after="120"/>
        <w:jc w:val="both"/>
        <w:rPr>
          <w:rFonts w:ascii="Times New Roman" w:eastAsia="Arial" w:hAnsi="Times New Roman" w:cs="Times New Roman"/>
          <w:sz w:val="28"/>
          <w:szCs w:val="28"/>
          <w:lang w:val="it-IT"/>
        </w:rPr>
      </w:pPr>
      <w:r w:rsidRPr="008354C2">
        <w:rPr>
          <w:rFonts w:ascii="Times New Roman" w:eastAsia="Calibri" w:hAnsi="Times New Roman" w:cs="Times New Roman"/>
          <w:sz w:val="28"/>
          <w:szCs w:val="28"/>
          <w:lang w:val="it-IT"/>
        </w:rPr>
        <w:t xml:space="preserve">+ ICP 20.10: An toàn vốn: yêu cầu công khai </w:t>
      </w:r>
      <w:r w:rsidRPr="008354C2">
        <w:rPr>
          <w:rFonts w:ascii="Times New Roman" w:eastAsia="Arial" w:hAnsi="Times New Roman" w:cs="Times New Roman"/>
          <w:sz w:val="28"/>
          <w:szCs w:val="28"/>
          <w:lang w:val="it-IT"/>
        </w:rPr>
        <w:t>mục tiêu, chính sách và quy trình quản lý vốn và đánh giá mức đủ vốn; các yêu cầu về khả năng thanh toán của (các) khu vực công ty bảo hiểm hoạt động; vốn có sẵn để trang trải các yêu cầu về vốn quy định (Nếu doanh nghiệp bảo hiểm sử dụng mô hình nội bộ để xác định nguồn vốn và các yêu cầu thì thông tin về mô hình cần được cung cấp/tiết lộ).</w:t>
      </w:r>
    </w:p>
    <w:p w:rsidR="00D51E55" w:rsidRPr="008354C2" w:rsidRDefault="00AA3E38" w:rsidP="00AA3E38">
      <w:pPr>
        <w:spacing w:before="120" w:after="120"/>
        <w:jc w:val="both"/>
        <w:rPr>
          <w:rFonts w:ascii="Times New Roman" w:eastAsia="Arial" w:hAnsi="Times New Roman" w:cs="Times New Roman"/>
          <w:b/>
          <w:i/>
          <w:sz w:val="28"/>
          <w:szCs w:val="28"/>
          <w:lang w:val="it-IT"/>
        </w:rPr>
      </w:pPr>
      <w:r w:rsidRPr="008354C2">
        <w:rPr>
          <w:rFonts w:ascii="Times New Roman" w:eastAsia="Arial" w:hAnsi="Times New Roman" w:cs="Times New Roman"/>
          <w:b/>
          <w:sz w:val="28"/>
          <w:szCs w:val="28"/>
          <w:lang w:val="it-IT"/>
        </w:rPr>
        <w:t>3.2.4. Quy định về công khai thông tin đối với</w:t>
      </w:r>
      <w:r w:rsidRPr="008354C2">
        <w:rPr>
          <w:rFonts w:ascii="Times New Roman" w:eastAsia="Arial" w:hAnsi="Times New Roman" w:cs="Times New Roman"/>
          <w:b/>
          <w:i/>
          <w:sz w:val="28"/>
          <w:szCs w:val="28"/>
          <w:lang w:val="it-IT"/>
        </w:rPr>
        <w:t xml:space="preserve"> </w:t>
      </w:r>
      <w:r w:rsidR="00D51E55" w:rsidRPr="008354C2">
        <w:rPr>
          <w:rFonts w:ascii="Times New Roman" w:eastAsia="Arial" w:hAnsi="Times New Roman" w:cs="Times New Roman"/>
          <w:b/>
          <w:i/>
          <w:sz w:val="28"/>
          <w:szCs w:val="28"/>
          <w:lang w:val="it-IT"/>
        </w:rPr>
        <w:t>Nhóm thông tin về nghiệp vụ</w:t>
      </w:r>
    </w:p>
    <w:p w:rsidR="00D51E55" w:rsidRPr="008354C2" w:rsidRDefault="00AA3E38" w:rsidP="00E8474C">
      <w:pPr>
        <w:spacing w:before="120" w:after="120"/>
        <w:jc w:val="both"/>
        <w:rPr>
          <w:rFonts w:ascii="Times New Roman" w:eastAsia="Arial" w:hAnsi="Times New Roman" w:cs="Times New Roman"/>
          <w:sz w:val="28"/>
          <w:szCs w:val="28"/>
          <w:lang w:val="it-IT"/>
        </w:rPr>
      </w:pPr>
      <w:r w:rsidRPr="008354C2">
        <w:rPr>
          <w:rFonts w:ascii="Times New Roman" w:eastAsia="Arial" w:hAnsi="Times New Roman" w:cs="Times New Roman"/>
          <w:b/>
          <w:sz w:val="28"/>
          <w:szCs w:val="28"/>
          <w:lang w:val="it-IT"/>
        </w:rPr>
        <w:t xml:space="preserve">3.2.4.1. </w:t>
      </w:r>
      <w:r w:rsidR="00D51E55" w:rsidRPr="008354C2">
        <w:rPr>
          <w:rFonts w:ascii="Times New Roman" w:eastAsia="Arial" w:hAnsi="Times New Roman" w:cs="Times New Roman"/>
          <w:b/>
          <w:sz w:val="28"/>
          <w:szCs w:val="28"/>
          <w:lang w:val="it-IT"/>
        </w:rPr>
        <w:t>Đài Loan</w:t>
      </w:r>
      <w:r w:rsidR="00D51E55" w:rsidRPr="008354C2">
        <w:rPr>
          <w:rFonts w:ascii="Times New Roman" w:eastAsia="Arial" w:hAnsi="Times New Roman" w:cs="Times New Roman"/>
          <w:sz w:val="28"/>
          <w:szCs w:val="28"/>
          <w:lang w:val="it-IT"/>
        </w:rPr>
        <w:t>:</w:t>
      </w:r>
      <w:r w:rsidR="00E8474C" w:rsidRPr="008354C2">
        <w:rPr>
          <w:rFonts w:ascii="Times New Roman" w:eastAsia="Arial" w:hAnsi="Times New Roman" w:cs="Times New Roman"/>
          <w:sz w:val="28"/>
          <w:szCs w:val="28"/>
          <w:lang w:val="it-IT"/>
        </w:rPr>
        <w:t xml:space="preserve"> Theo Luật Bảo hiểm Đài Loan,</w:t>
      </w:r>
      <w:r w:rsidR="00D51E55" w:rsidRPr="008354C2">
        <w:rPr>
          <w:rFonts w:ascii="Times New Roman" w:eastAsia="Arial" w:hAnsi="Times New Roman" w:cs="Times New Roman"/>
          <w:sz w:val="28"/>
          <w:szCs w:val="28"/>
          <w:lang w:val="it-IT"/>
        </w:rPr>
        <w:t xml:space="preserve"> </w:t>
      </w:r>
      <w:r w:rsidR="00D51E55" w:rsidRPr="008354C2">
        <w:rPr>
          <w:rFonts w:ascii="Times New Roman" w:eastAsia="Times New Roman" w:hAnsi="Times New Roman" w:cs="Times New Roman"/>
          <w:sz w:val="28"/>
          <w:szCs w:val="28"/>
          <w:lang w:val="it-IT"/>
        </w:rPr>
        <w:t xml:space="preserve">Chương V, Mục 1, Điều 138-4: </w:t>
      </w:r>
      <w:r w:rsidR="00D51E55" w:rsidRPr="008354C2">
        <w:rPr>
          <w:rFonts w:ascii="Times New Roman" w:eastAsia="Times New Roman" w:hAnsi="Times New Roman" w:cs="Times New Roman"/>
          <w:sz w:val="28"/>
          <w:szCs w:val="28"/>
          <w:lang w:val="vi-VN"/>
        </w:rPr>
        <w:t>Doanh nghiệp bảo hiểm phải đăng các điều khoản và điều kiện hợp đồng hiện có đối với các sản phẩm bảo hiểm do mình bán trên trang web riêng của mình hoặc trang web do cơ quan có thẩm quyền chỉ định, đồng thời tiết lộ các khoản phụ phí được chỉ định, phạm vi bảo hiểm và các loại trừ theo luật định đối với sản phẩm và thông tin sản phẩm bảo hiểm khác do cơ quan có thẩm quyền chỉ định</w:t>
      </w:r>
      <w:r w:rsidR="00E8474C" w:rsidRPr="008354C2">
        <w:rPr>
          <w:rFonts w:ascii="Times New Roman" w:eastAsia="Times New Roman" w:hAnsi="Times New Roman" w:cs="Times New Roman"/>
          <w:sz w:val="28"/>
          <w:szCs w:val="28"/>
          <w:lang w:val="it-IT"/>
        </w:rPr>
        <w:t>.</w:t>
      </w:r>
    </w:p>
    <w:p w:rsidR="00D51E55" w:rsidRPr="008354C2" w:rsidRDefault="00650ACD" w:rsidP="00650ACD">
      <w:pPr>
        <w:spacing w:before="120" w:after="120" w:line="240" w:lineRule="auto"/>
        <w:rPr>
          <w:rFonts w:ascii="Times New Roman" w:eastAsia="Arial" w:hAnsi="Times New Roman" w:cs="Times New Roman"/>
          <w:b/>
          <w:sz w:val="28"/>
          <w:szCs w:val="28"/>
          <w:lang w:val="it-IT"/>
        </w:rPr>
      </w:pPr>
      <w:r w:rsidRPr="008354C2">
        <w:rPr>
          <w:rFonts w:ascii="Times New Roman" w:eastAsia="Arial" w:hAnsi="Times New Roman" w:cs="Times New Roman"/>
          <w:b/>
          <w:sz w:val="28"/>
          <w:szCs w:val="28"/>
          <w:lang w:val="it-IT"/>
        </w:rPr>
        <w:t>3.3. Quy định về báo cáo tình hình tài chính</w:t>
      </w:r>
    </w:p>
    <w:p w:rsidR="006F1A0F" w:rsidRPr="008354C2" w:rsidRDefault="006F1A0F" w:rsidP="006F1A0F">
      <w:pPr>
        <w:tabs>
          <w:tab w:val="center" w:pos="0"/>
        </w:tabs>
        <w:spacing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3.</w:t>
      </w:r>
      <w:r w:rsidR="00650ACD" w:rsidRPr="008354C2">
        <w:rPr>
          <w:rFonts w:ascii="Times New Roman" w:hAnsi="Times New Roman" w:cs="Times New Roman"/>
          <w:b/>
          <w:sz w:val="28"/>
          <w:szCs w:val="28"/>
          <w:lang w:val="it-IT"/>
        </w:rPr>
        <w:t>3.</w:t>
      </w:r>
      <w:r w:rsidRPr="008354C2">
        <w:rPr>
          <w:rFonts w:ascii="Times New Roman" w:hAnsi="Times New Roman" w:cs="Times New Roman"/>
          <w:b/>
          <w:sz w:val="28"/>
          <w:szCs w:val="28"/>
          <w:lang w:val="it-IT"/>
        </w:rPr>
        <w:t xml:space="preserve">1. Trung Quốc </w:t>
      </w:r>
    </w:p>
    <w:p w:rsidR="006F1A0F" w:rsidRPr="008354C2" w:rsidRDefault="006F1A0F" w:rsidP="006F1A0F">
      <w:pPr>
        <w:tabs>
          <w:tab w:val="center" w:pos="0"/>
        </w:tabs>
        <w:spacing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Theo quy định tại Luật Bảo hiểm Trung Quốc</w:t>
      </w:r>
    </w:p>
    <w:p w:rsidR="006F1A0F" w:rsidRPr="008354C2" w:rsidRDefault="006F1A0F" w:rsidP="006F1A0F">
      <w:pPr>
        <w:spacing w:after="120"/>
        <w:jc w:val="both"/>
        <w:rPr>
          <w:rFonts w:ascii="Times New Roman" w:eastAsia="Arial" w:hAnsi="Times New Roman" w:cs="Times New Roman"/>
          <w:i/>
          <w:sz w:val="28"/>
          <w:szCs w:val="28"/>
          <w:lang w:val="it-IT"/>
        </w:rPr>
      </w:pPr>
      <w:r w:rsidRPr="008354C2">
        <w:rPr>
          <w:rFonts w:ascii="Times New Roman" w:eastAsia="Arial" w:hAnsi="Times New Roman" w:cs="Times New Roman"/>
          <w:sz w:val="28"/>
          <w:szCs w:val="28"/>
          <w:lang w:val="it-IT"/>
        </w:rPr>
        <w:t>- Điều 85:</w:t>
      </w:r>
      <w:r w:rsidRPr="008354C2">
        <w:rPr>
          <w:rFonts w:ascii="Times New Roman" w:eastAsia="Arial" w:hAnsi="Times New Roman" w:cs="Times New Roman"/>
          <w:i/>
          <w:sz w:val="28"/>
          <w:szCs w:val="28"/>
          <w:lang w:val="it-IT"/>
        </w:rPr>
        <w:t xml:space="preserve"> Các công ty bảo hiểm sẽ thuê các chuyên gia và thiết lập một hệ thống báo cáo thống kê bảo hiểm và một hệ thống báo cáo tuân thủ. </w:t>
      </w:r>
    </w:p>
    <w:p w:rsidR="006F1A0F" w:rsidRPr="008354C2" w:rsidRDefault="006F1A0F" w:rsidP="006F1A0F">
      <w:pPr>
        <w:spacing w:after="120"/>
        <w:jc w:val="both"/>
        <w:rPr>
          <w:rFonts w:ascii="Times New Roman" w:eastAsia="Arial" w:hAnsi="Times New Roman" w:cs="Times New Roman"/>
          <w:sz w:val="28"/>
          <w:szCs w:val="28"/>
          <w:lang w:val="it-IT"/>
        </w:rPr>
      </w:pPr>
      <w:r w:rsidRPr="008354C2">
        <w:rPr>
          <w:rFonts w:ascii="Times New Roman" w:hAnsi="Times New Roman" w:cs="Times New Roman"/>
          <w:sz w:val="28"/>
          <w:szCs w:val="28"/>
          <w:lang w:val="it-IT"/>
        </w:rPr>
        <w:t xml:space="preserve">- </w:t>
      </w:r>
      <w:r w:rsidRPr="008354C2">
        <w:rPr>
          <w:rFonts w:ascii="Times New Roman" w:eastAsia="Arial" w:hAnsi="Times New Roman" w:cs="Times New Roman"/>
          <w:sz w:val="28"/>
          <w:szCs w:val="28"/>
          <w:lang w:val="it-IT"/>
        </w:rPr>
        <w:t>Điều 86:</w:t>
      </w:r>
      <w:r w:rsidR="00650ACD" w:rsidRPr="008354C2">
        <w:rPr>
          <w:rFonts w:ascii="Times New Roman" w:eastAsia="Arial" w:hAnsi="Times New Roman" w:cs="Times New Roman"/>
          <w:i/>
          <w:sz w:val="28"/>
          <w:szCs w:val="28"/>
          <w:lang w:val="it-IT"/>
        </w:rPr>
        <w:t xml:space="preserve"> </w:t>
      </w:r>
      <w:r w:rsidRPr="008354C2">
        <w:rPr>
          <w:rFonts w:ascii="Times New Roman" w:eastAsia="Arial" w:hAnsi="Times New Roman" w:cs="Times New Roman"/>
          <w:i/>
          <w:sz w:val="28"/>
          <w:szCs w:val="28"/>
          <w:lang w:val="it-IT"/>
        </w:rPr>
        <w:t>Công ty bảo hiểm phải nộp các báo cáo, kê khai, tài liệu và giấy tờ có liên quan theo yêu cầu của cơ quan quản lý bảo hiểm có thẩm quyền.</w:t>
      </w:r>
      <w:r w:rsidRPr="008354C2">
        <w:rPr>
          <w:rFonts w:ascii="Times New Roman" w:eastAsia="Arial" w:hAnsi="Times New Roman" w:cs="Times New Roman"/>
          <w:sz w:val="28"/>
          <w:szCs w:val="28"/>
          <w:lang w:val="it-IT"/>
        </w:rPr>
        <w:t xml:space="preserve"> </w:t>
      </w:r>
    </w:p>
    <w:p w:rsidR="006F1A0F" w:rsidRPr="008354C2" w:rsidRDefault="006F1A0F" w:rsidP="006F1A0F">
      <w:pPr>
        <w:spacing w:after="120"/>
        <w:jc w:val="both"/>
        <w:rPr>
          <w:rFonts w:ascii="Times New Roman" w:eastAsia="Arial" w:hAnsi="Times New Roman" w:cs="Times New Roman"/>
          <w:i/>
          <w:sz w:val="28"/>
          <w:szCs w:val="28"/>
          <w:lang w:val="it-IT"/>
        </w:rPr>
      </w:pPr>
      <w:r w:rsidRPr="008354C2">
        <w:rPr>
          <w:rFonts w:ascii="Times New Roman" w:eastAsia="Arial" w:hAnsi="Times New Roman" w:cs="Times New Roman"/>
          <w:i/>
          <w:sz w:val="28"/>
          <w:szCs w:val="28"/>
          <w:lang w:val="it-IT"/>
        </w:rPr>
        <w:t xml:space="preserve">Báo cáo về khả năng thanh toán, báo cáo về tình hình tài chính và kế toán, báo cáo thống kê bảo hiểm, báo cáo tuân thủ quy định và các báo cáo, kê khai, tài liệu, giấy tờ khác có liên quan của công ty bảo hiểm phải ghi chép trung thực các vấn đề kinh doanh bảo hiểm và không có bất kỳ sai sót, kê khai gây hiểu lầm hoặc thiếu sót. </w:t>
      </w:r>
    </w:p>
    <w:p w:rsidR="006F1A0F" w:rsidRPr="008354C2" w:rsidRDefault="006F1A0F" w:rsidP="006F1A0F">
      <w:pPr>
        <w:spacing w:after="120"/>
        <w:jc w:val="both"/>
        <w:rPr>
          <w:rFonts w:ascii="Times New Roman" w:eastAsia="Arial" w:hAnsi="Times New Roman" w:cs="Times New Roman"/>
          <w:b/>
          <w:sz w:val="28"/>
          <w:szCs w:val="28"/>
          <w:lang w:val="it-IT"/>
        </w:rPr>
      </w:pPr>
      <w:r w:rsidRPr="008354C2">
        <w:rPr>
          <w:rFonts w:ascii="Times New Roman" w:eastAsia="Arial" w:hAnsi="Times New Roman" w:cs="Times New Roman"/>
          <w:b/>
          <w:sz w:val="28"/>
          <w:szCs w:val="28"/>
          <w:lang w:val="it-IT"/>
        </w:rPr>
        <w:t>3.</w:t>
      </w:r>
      <w:r w:rsidR="00650ACD" w:rsidRPr="008354C2">
        <w:rPr>
          <w:rFonts w:ascii="Times New Roman" w:eastAsia="Arial" w:hAnsi="Times New Roman" w:cs="Times New Roman"/>
          <w:b/>
          <w:sz w:val="28"/>
          <w:szCs w:val="28"/>
          <w:lang w:val="it-IT"/>
        </w:rPr>
        <w:t>3.</w:t>
      </w:r>
      <w:r w:rsidRPr="008354C2">
        <w:rPr>
          <w:rFonts w:ascii="Times New Roman" w:eastAsia="Arial" w:hAnsi="Times New Roman" w:cs="Times New Roman"/>
          <w:b/>
          <w:sz w:val="28"/>
          <w:szCs w:val="28"/>
          <w:lang w:val="it-IT"/>
        </w:rPr>
        <w:t>2. Đài Loan</w:t>
      </w:r>
    </w:p>
    <w:p w:rsidR="006F1A0F" w:rsidRPr="008354C2" w:rsidRDefault="006F1A0F" w:rsidP="006F1A0F">
      <w:pPr>
        <w:spacing w:after="120"/>
        <w:jc w:val="both"/>
        <w:rPr>
          <w:rFonts w:ascii="Times New Roman" w:eastAsia="Arial" w:hAnsi="Times New Roman" w:cs="Times New Roman"/>
          <w:i/>
          <w:sz w:val="28"/>
          <w:szCs w:val="28"/>
          <w:lang w:val="it-IT"/>
        </w:rPr>
      </w:pPr>
      <w:r w:rsidRPr="008354C2">
        <w:rPr>
          <w:rFonts w:ascii="Times New Roman" w:eastAsia="Arial" w:hAnsi="Times New Roman" w:cs="Times New Roman"/>
          <w:sz w:val="28"/>
          <w:szCs w:val="28"/>
          <w:lang w:val="it-IT"/>
        </w:rPr>
        <w:t>Theo quy định tại Luật bảo hiểm Đài Loan:</w:t>
      </w:r>
    </w:p>
    <w:p w:rsidR="006F1A0F" w:rsidRPr="008354C2" w:rsidRDefault="006F1A0F" w:rsidP="00713463">
      <w:pPr>
        <w:spacing w:before="120" w:after="120"/>
        <w:jc w:val="both"/>
        <w:rPr>
          <w:rFonts w:ascii="Times New Roman" w:eastAsia="Arial" w:hAnsi="Times New Roman" w:cs="Times New Roman"/>
          <w:i/>
          <w:sz w:val="28"/>
          <w:szCs w:val="28"/>
          <w:lang w:val="it-IT"/>
        </w:rPr>
      </w:pPr>
      <w:r w:rsidRPr="008354C2">
        <w:rPr>
          <w:rFonts w:ascii="Times New Roman" w:eastAsia="Arial" w:hAnsi="Times New Roman" w:cs="Times New Roman"/>
          <w:sz w:val="28"/>
          <w:szCs w:val="28"/>
          <w:lang w:val="it-IT"/>
        </w:rPr>
        <w:t>- Điều 148-1</w:t>
      </w:r>
      <w:r w:rsidRPr="008354C2">
        <w:rPr>
          <w:rFonts w:ascii="Times New Roman" w:eastAsia="Arial" w:hAnsi="Times New Roman" w:cs="Times New Roman"/>
          <w:sz w:val="28"/>
          <w:szCs w:val="28"/>
          <w:lang w:val="it-IT"/>
        </w:rPr>
        <w:tab/>
      </w:r>
      <w:r w:rsidRPr="008354C2">
        <w:rPr>
          <w:rFonts w:ascii="MS Gothic" w:eastAsia="MS Gothic" w:hAnsi="MS Gothic" w:cs="MS Gothic" w:hint="eastAsia"/>
          <w:sz w:val="28"/>
          <w:szCs w:val="28"/>
        </w:rPr>
        <w:t xml:space="preserve">　</w:t>
      </w:r>
      <w:r w:rsidRPr="008354C2">
        <w:rPr>
          <w:rFonts w:ascii="Times New Roman" w:eastAsia="Arial" w:hAnsi="Times New Roman" w:cs="Times New Roman"/>
          <w:i/>
          <w:sz w:val="28"/>
          <w:szCs w:val="28"/>
          <w:lang w:val="it-IT"/>
        </w:rPr>
        <w:t>Vào cuối mỗi năm tài chính, doanh nghiệp bảo hiểm sẽ lập (i) bộ báo cáo chi tiết tình trạng hoạt động và sử dụng các quỹ của mình, kèm theo bảng cân đối kế toán, báo cáo kết quả hoạt động kinh doanh, báo cáo lưu chuyển tiền mặt và đề xuất phân bổ lợi nhuận thặng dư hoặc bù đắp thâm hụt và các vấn đề khác do cơ quan có thẩm quyền chỉ định, (ii) có các mục trên được chứng nhận bởi kế toán viên được cấp phép, (iii) gửi các mục trên để phê duyệt tại cuộc họp cổ đông hoặc Đại hội đồng thành viên, và (iv) sau đó nộp các mục trên cho cơ quan có thẩm quyền trong vòng mười lăm ngày để lưu trữ.</w:t>
      </w:r>
    </w:p>
    <w:p w:rsidR="006F1A0F" w:rsidRPr="008354C2" w:rsidRDefault="006F1A0F" w:rsidP="006F1A0F">
      <w:pPr>
        <w:spacing w:after="120"/>
        <w:jc w:val="both"/>
        <w:rPr>
          <w:rFonts w:ascii="Times New Roman" w:eastAsia="Arial" w:hAnsi="Times New Roman" w:cs="Times New Roman"/>
          <w:i/>
          <w:sz w:val="28"/>
          <w:szCs w:val="28"/>
          <w:lang w:val="it-IT"/>
        </w:rPr>
      </w:pPr>
      <w:r w:rsidRPr="008354C2">
        <w:rPr>
          <w:rFonts w:ascii="Times New Roman" w:eastAsia="Arial" w:hAnsi="Times New Roman" w:cs="Times New Roman"/>
          <w:i/>
          <w:sz w:val="28"/>
          <w:szCs w:val="28"/>
          <w:lang w:val="it-IT"/>
        </w:rPr>
        <w:t>Ngoài báo cáo tài chính và kinh doanh mà doanh nghiệp bảo hiểm phải nộp theo đoạn trên, cơ quan có thẩm quyền có thể yêu cầu báo cáo doanh nghiệp bảo hiểm, trong thời hạn quy định khi thấy cần thiết và tuân thủ tất cả các yêu cầu về định dạng và nội dung, điều kiện kinh doanh và tài chính của mình và gửi cho cơ quan có thẩm quyền hoặc một tổ chức được chỉ định, hoặc doanh nghiệp bảo hiểm cung cấp sổ sách, báo cáo, chứng từ hoặc tài liệu liên quan đến tài chính và hoạt động khác .</w:t>
      </w:r>
    </w:p>
    <w:p w:rsidR="006F1A0F" w:rsidRPr="008354C2" w:rsidRDefault="006F1A0F" w:rsidP="002B76A3">
      <w:pPr>
        <w:spacing w:after="120"/>
        <w:jc w:val="both"/>
        <w:rPr>
          <w:rFonts w:ascii="Times New Roman" w:eastAsia="Arial" w:hAnsi="Times New Roman" w:cs="Times New Roman"/>
          <w:i/>
          <w:sz w:val="28"/>
          <w:szCs w:val="28"/>
          <w:lang w:val="it-IT"/>
        </w:rPr>
      </w:pPr>
      <w:r w:rsidRPr="008354C2">
        <w:rPr>
          <w:rFonts w:ascii="Times New Roman" w:eastAsia="Arial" w:hAnsi="Times New Roman" w:cs="Times New Roman"/>
          <w:i/>
          <w:sz w:val="28"/>
          <w:szCs w:val="28"/>
          <w:lang w:val="it-IT"/>
        </w:rPr>
        <w:t>Các tiêu chuẩn quản lý việc lập các báo cáo tài chính được đề cập trong hai đoạn trước sẽ do cơ quan có thẩm quyền quy đị</w:t>
      </w:r>
      <w:r w:rsidR="002B76A3" w:rsidRPr="008354C2">
        <w:rPr>
          <w:rFonts w:ascii="Times New Roman" w:eastAsia="Arial" w:hAnsi="Times New Roman" w:cs="Times New Roman"/>
          <w:i/>
          <w:sz w:val="28"/>
          <w:szCs w:val="28"/>
          <w:lang w:val="it-IT"/>
        </w:rPr>
        <w:t>nh.</w:t>
      </w: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2B76A3" w:rsidRPr="008354C2" w:rsidRDefault="002B76A3" w:rsidP="002B76A3">
      <w:pPr>
        <w:spacing w:after="120"/>
        <w:jc w:val="both"/>
        <w:rPr>
          <w:rFonts w:ascii="Times New Roman" w:eastAsia="Arial" w:hAnsi="Times New Roman" w:cs="Times New Roman"/>
          <w:i/>
          <w:sz w:val="28"/>
          <w:szCs w:val="28"/>
          <w:lang w:val="it-IT"/>
        </w:rPr>
      </w:pPr>
    </w:p>
    <w:p w:rsidR="004774EE" w:rsidRPr="008354C2" w:rsidRDefault="004774EE" w:rsidP="002B76A3">
      <w:pPr>
        <w:spacing w:before="120" w:after="120"/>
        <w:jc w:val="center"/>
        <w:rPr>
          <w:rFonts w:ascii="Times New Roman" w:eastAsia="Arial" w:hAnsi="Times New Roman" w:cs="Times New Roman"/>
          <w:b/>
          <w:sz w:val="28"/>
          <w:szCs w:val="28"/>
          <w:lang w:val="it-IT"/>
        </w:rPr>
      </w:pPr>
      <w:r w:rsidRPr="008354C2">
        <w:rPr>
          <w:rFonts w:ascii="Times New Roman" w:eastAsia="Arial" w:hAnsi="Times New Roman" w:cs="Times New Roman"/>
          <w:b/>
          <w:sz w:val="28"/>
          <w:szCs w:val="28"/>
          <w:lang w:val="it-IT"/>
        </w:rPr>
        <w:t>III. CHÍNH SÁCH 3: HOÀN THIỆN CHẾ ĐỊNH HỢP ĐỒNG BẢO HIỂM, BẢO ĐẢM NGUYÊN TẮC BÌNH ĐẲNG, MINH BẠCH VÀ AN TOÀN CHO CÁC GIAO DỊCH BẢO HIỂM</w:t>
      </w:r>
    </w:p>
    <w:p w:rsidR="005F6AA0" w:rsidRPr="008354C2" w:rsidRDefault="005F6AA0" w:rsidP="005F6AA0">
      <w:pPr>
        <w:widowControl w:val="0"/>
        <w:tabs>
          <w:tab w:val="left" w:pos="360"/>
          <w:tab w:val="left" w:pos="851"/>
        </w:tabs>
        <w:spacing w:before="120" w:after="120" w:line="240" w:lineRule="auto"/>
        <w:jc w:val="both"/>
        <w:outlineLvl w:val="2"/>
        <w:rPr>
          <w:rFonts w:ascii="Times New Roman" w:hAnsi="Times New Roman" w:cs="Times New Roman"/>
          <w:sz w:val="28"/>
          <w:szCs w:val="28"/>
          <w:lang w:val="it-IT"/>
        </w:rPr>
      </w:pPr>
      <w:r w:rsidRPr="008354C2">
        <w:rPr>
          <w:rFonts w:ascii="Times New Roman" w:eastAsia="Arial" w:hAnsi="Times New Roman" w:cs="Times New Roman"/>
          <w:b/>
          <w:sz w:val="28"/>
          <w:szCs w:val="28"/>
          <w:lang w:val="it-IT"/>
        </w:rPr>
        <w:t>1.</w:t>
      </w:r>
      <w:r w:rsidR="0044037B" w:rsidRPr="008354C2">
        <w:rPr>
          <w:rFonts w:ascii="Times New Roman" w:eastAsia="Arial" w:hAnsi="Times New Roman" w:cs="Times New Roman"/>
          <w:b/>
          <w:sz w:val="28"/>
          <w:szCs w:val="28"/>
          <w:lang w:val="it-IT"/>
        </w:rPr>
        <w:t xml:space="preserve"> Các n</w:t>
      </w:r>
      <w:r w:rsidRPr="008354C2">
        <w:rPr>
          <w:rFonts w:ascii="Times New Roman" w:hAnsi="Times New Roman" w:cs="Times New Roman"/>
          <w:b/>
          <w:sz w:val="28"/>
          <w:szCs w:val="28"/>
          <w:lang w:val="it-IT"/>
        </w:rPr>
        <w:t>guyên tắc giao kết và thực hiện hợp đồng bảo hiểm</w:t>
      </w:r>
    </w:p>
    <w:p w:rsidR="005F6AA0" w:rsidRPr="008354C2" w:rsidRDefault="005F6AA0" w:rsidP="005F6AA0">
      <w:pPr>
        <w:widowControl w:val="0"/>
        <w:tabs>
          <w:tab w:val="left" w:pos="567"/>
        </w:tabs>
        <w:spacing w:before="120" w:after="120"/>
        <w:jc w:val="both"/>
        <w:outlineLvl w:val="2"/>
        <w:rPr>
          <w:rFonts w:ascii="Times New Roman" w:hAnsi="Times New Roman" w:cs="Times New Roman"/>
          <w:sz w:val="28"/>
          <w:szCs w:val="28"/>
          <w:lang w:val="it-IT"/>
        </w:rPr>
      </w:pPr>
      <w:r w:rsidRPr="008354C2">
        <w:rPr>
          <w:rFonts w:ascii="Times New Roman" w:hAnsi="Times New Roman" w:cs="Times New Roman"/>
          <w:sz w:val="28"/>
          <w:szCs w:val="28"/>
          <w:lang w:val="it-IT"/>
        </w:rPr>
        <w:t>Hợp đồng bảo hiểm là hợp đồng cung cấp cho mọi người sự đảm bảo về tài chính và bảo vệ khỏi sự bất trắc trong tương lai. Tuy nhiên, để mối quan hệ giữa doanh nghiệp bảo hiểm và người được bảo hiểm có hiệu quả, cần phải tuân thủ những nguyên tắc quan trọng nhất định. Nhìn chung, hoạt động kinh doanh bảo hiểm được điều chỉnh bởi 7 nguyên tắc cơ bản sau:</w:t>
      </w:r>
    </w:p>
    <w:p w:rsidR="005F6AA0" w:rsidRPr="008354C2" w:rsidRDefault="005F6AA0" w:rsidP="005F6AA0">
      <w:pPr>
        <w:pStyle w:val="Heading3"/>
        <w:widowControl w:val="0"/>
        <w:tabs>
          <w:tab w:val="left" w:pos="709"/>
        </w:tabs>
        <w:spacing w:before="120" w:after="120" w:line="276" w:lineRule="auto"/>
        <w:ind w:firstLine="567"/>
        <w:jc w:val="both"/>
        <w:rPr>
          <w:rFonts w:ascii="Times New Roman" w:eastAsiaTheme="minorHAnsi" w:hAnsi="Times New Roman" w:cs="Times New Roman"/>
          <w:color w:val="auto"/>
          <w:sz w:val="28"/>
          <w:szCs w:val="28"/>
          <w:lang w:val="it-IT"/>
        </w:rPr>
      </w:pPr>
      <w:r w:rsidRPr="008354C2">
        <w:rPr>
          <w:rFonts w:ascii="Times New Roman" w:eastAsiaTheme="minorHAnsi" w:hAnsi="Times New Roman" w:cs="Times New Roman"/>
          <w:color w:val="auto"/>
          <w:sz w:val="28"/>
          <w:szCs w:val="28"/>
          <w:lang w:val="it-IT"/>
        </w:rPr>
        <w:t>• Trung thực tuyệt đối</w:t>
      </w:r>
    </w:p>
    <w:p w:rsidR="005F6AA0" w:rsidRPr="008354C2" w:rsidRDefault="005F6AA0" w:rsidP="005F6AA0">
      <w:pPr>
        <w:pStyle w:val="Heading3"/>
        <w:widowControl w:val="0"/>
        <w:tabs>
          <w:tab w:val="left" w:pos="709"/>
        </w:tabs>
        <w:spacing w:before="120" w:after="120" w:line="276" w:lineRule="auto"/>
        <w:ind w:firstLine="567"/>
        <w:jc w:val="both"/>
        <w:rPr>
          <w:rFonts w:ascii="Times New Roman" w:eastAsiaTheme="minorHAnsi" w:hAnsi="Times New Roman" w:cs="Times New Roman"/>
          <w:color w:val="auto"/>
          <w:sz w:val="28"/>
          <w:szCs w:val="28"/>
          <w:lang w:val="it-IT"/>
        </w:rPr>
      </w:pPr>
      <w:r w:rsidRPr="008354C2">
        <w:rPr>
          <w:rFonts w:ascii="Times New Roman" w:eastAsiaTheme="minorHAnsi" w:hAnsi="Times New Roman" w:cs="Times New Roman"/>
          <w:color w:val="auto"/>
          <w:sz w:val="28"/>
          <w:szCs w:val="28"/>
          <w:lang w:val="it-IT"/>
        </w:rPr>
        <w:t>• Quyền lợi có thể được bảo hiểm</w:t>
      </w:r>
    </w:p>
    <w:p w:rsidR="005F6AA0" w:rsidRPr="008354C2" w:rsidRDefault="005F6AA0" w:rsidP="005F6AA0">
      <w:pPr>
        <w:pStyle w:val="Heading3"/>
        <w:widowControl w:val="0"/>
        <w:tabs>
          <w:tab w:val="left" w:pos="709"/>
        </w:tabs>
        <w:spacing w:before="120" w:after="120" w:line="276" w:lineRule="auto"/>
        <w:ind w:firstLine="567"/>
        <w:jc w:val="both"/>
        <w:rPr>
          <w:rFonts w:ascii="Times New Roman" w:eastAsiaTheme="minorHAnsi" w:hAnsi="Times New Roman" w:cs="Times New Roman"/>
          <w:color w:val="auto"/>
          <w:sz w:val="28"/>
          <w:szCs w:val="28"/>
          <w:lang w:val="it-IT"/>
        </w:rPr>
      </w:pPr>
      <w:r w:rsidRPr="008354C2">
        <w:rPr>
          <w:rFonts w:ascii="Times New Roman" w:eastAsiaTheme="minorHAnsi" w:hAnsi="Times New Roman" w:cs="Times New Roman"/>
          <w:color w:val="auto"/>
          <w:sz w:val="28"/>
          <w:szCs w:val="28"/>
          <w:lang w:val="it-IT"/>
        </w:rPr>
        <w:t>• Bồi thường</w:t>
      </w:r>
    </w:p>
    <w:p w:rsidR="005F6AA0" w:rsidRPr="008354C2" w:rsidRDefault="005F6AA0" w:rsidP="005F6AA0">
      <w:pPr>
        <w:pStyle w:val="Heading3"/>
        <w:widowControl w:val="0"/>
        <w:tabs>
          <w:tab w:val="left" w:pos="709"/>
        </w:tabs>
        <w:spacing w:before="120" w:after="120" w:line="276" w:lineRule="auto"/>
        <w:ind w:firstLine="567"/>
        <w:jc w:val="both"/>
        <w:rPr>
          <w:rFonts w:ascii="Times New Roman" w:eastAsiaTheme="minorHAnsi" w:hAnsi="Times New Roman" w:cs="Times New Roman"/>
          <w:color w:val="auto"/>
          <w:sz w:val="28"/>
          <w:szCs w:val="28"/>
          <w:lang w:val="it-IT"/>
        </w:rPr>
      </w:pPr>
      <w:r w:rsidRPr="008354C2">
        <w:rPr>
          <w:rFonts w:ascii="Times New Roman" w:eastAsiaTheme="minorHAnsi" w:hAnsi="Times New Roman" w:cs="Times New Roman"/>
          <w:color w:val="auto"/>
          <w:sz w:val="28"/>
          <w:szCs w:val="28"/>
          <w:lang w:val="it-IT"/>
        </w:rPr>
        <w:t>• Thế quyền</w:t>
      </w:r>
    </w:p>
    <w:p w:rsidR="005F6AA0" w:rsidRPr="008354C2" w:rsidRDefault="005F6AA0" w:rsidP="005F6AA0">
      <w:pPr>
        <w:pStyle w:val="Heading3"/>
        <w:widowControl w:val="0"/>
        <w:tabs>
          <w:tab w:val="left" w:pos="709"/>
        </w:tabs>
        <w:spacing w:before="120" w:after="120" w:line="276" w:lineRule="auto"/>
        <w:ind w:firstLine="567"/>
        <w:jc w:val="both"/>
        <w:rPr>
          <w:rFonts w:ascii="Times New Roman" w:eastAsiaTheme="minorHAnsi" w:hAnsi="Times New Roman" w:cs="Times New Roman"/>
          <w:color w:val="auto"/>
          <w:sz w:val="28"/>
          <w:szCs w:val="28"/>
          <w:lang w:val="it-IT"/>
        </w:rPr>
      </w:pPr>
      <w:r w:rsidRPr="008354C2">
        <w:rPr>
          <w:rFonts w:ascii="Times New Roman" w:eastAsiaTheme="minorHAnsi" w:hAnsi="Times New Roman" w:cs="Times New Roman"/>
          <w:color w:val="auto"/>
          <w:sz w:val="28"/>
          <w:szCs w:val="28"/>
          <w:lang w:val="it-IT"/>
        </w:rPr>
        <w:t>• Rủi ro ngẫu nhiên</w:t>
      </w:r>
    </w:p>
    <w:p w:rsidR="005F6AA0" w:rsidRPr="008354C2" w:rsidRDefault="005F6AA0" w:rsidP="005F6AA0">
      <w:pPr>
        <w:pStyle w:val="Heading3"/>
        <w:widowControl w:val="0"/>
        <w:tabs>
          <w:tab w:val="left" w:pos="709"/>
        </w:tabs>
        <w:spacing w:before="120" w:after="120" w:line="276" w:lineRule="auto"/>
        <w:ind w:firstLine="567"/>
        <w:jc w:val="both"/>
        <w:rPr>
          <w:rFonts w:ascii="Times New Roman" w:eastAsiaTheme="minorHAnsi" w:hAnsi="Times New Roman" w:cs="Times New Roman"/>
          <w:color w:val="auto"/>
          <w:sz w:val="28"/>
          <w:szCs w:val="28"/>
          <w:lang w:val="it-IT"/>
        </w:rPr>
      </w:pPr>
      <w:r w:rsidRPr="008354C2">
        <w:rPr>
          <w:rFonts w:ascii="Times New Roman" w:eastAsiaTheme="minorHAnsi" w:hAnsi="Times New Roman" w:cs="Times New Roman"/>
          <w:color w:val="auto"/>
          <w:sz w:val="28"/>
          <w:szCs w:val="28"/>
          <w:lang w:val="it-IT"/>
        </w:rPr>
        <w:t>• Nguyên nhân trực tiếp</w:t>
      </w:r>
    </w:p>
    <w:p w:rsidR="005F6AA0" w:rsidRPr="008354C2" w:rsidRDefault="005F6AA0" w:rsidP="005F6AA0">
      <w:pPr>
        <w:pStyle w:val="Heading3"/>
        <w:widowControl w:val="0"/>
        <w:tabs>
          <w:tab w:val="left" w:pos="709"/>
        </w:tabs>
        <w:spacing w:before="120" w:after="120" w:line="276" w:lineRule="auto"/>
        <w:ind w:firstLine="567"/>
        <w:jc w:val="both"/>
        <w:rPr>
          <w:rFonts w:ascii="Times New Roman" w:eastAsiaTheme="minorHAnsi" w:hAnsi="Times New Roman" w:cs="Times New Roman"/>
          <w:color w:val="auto"/>
          <w:sz w:val="28"/>
          <w:szCs w:val="28"/>
          <w:lang w:val="it-IT"/>
        </w:rPr>
      </w:pPr>
      <w:r w:rsidRPr="008354C2">
        <w:rPr>
          <w:rFonts w:ascii="Times New Roman" w:eastAsiaTheme="minorHAnsi" w:hAnsi="Times New Roman" w:cs="Times New Roman"/>
          <w:color w:val="auto"/>
          <w:sz w:val="28"/>
          <w:szCs w:val="28"/>
          <w:lang w:val="it-IT"/>
        </w:rPr>
        <w:t>• Đóng góp</w:t>
      </w:r>
    </w:p>
    <w:p w:rsidR="005F6AA0" w:rsidRPr="008354C2" w:rsidRDefault="005F6AA0" w:rsidP="005F6AA0">
      <w:pPr>
        <w:tabs>
          <w:tab w:val="left" w:pos="567"/>
        </w:tabs>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Tại Luật bảo hiểm của các nước, các nguyên tắc này được thể hiện như sau:</w:t>
      </w:r>
    </w:p>
    <w:p w:rsidR="005F6AA0" w:rsidRPr="008354C2" w:rsidRDefault="005F6AA0" w:rsidP="005F6AA0">
      <w:pPr>
        <w:tabs>
          <w:tab w:val="left" w:pos="567"/>
        </w:tabs>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1.1. Nguyên tắc trung thực tuyệt đối</w:t>
      </w:r>
    </w:p>
    <w:p w:rsidR="005F6AA0" w:rsidRPr="008354C2" w:rsidRDefault="005F6AA0" w:rsidP="005F6AA0">
      <w:pPr>
        <w:tabs>
          <w:tab w:val="left" w:pos="567"/>
        </w:tabs>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trung thực tuyệt đối, được thể hiện bằng châm ngôn tiếng Latinh ‘uberrima fidei’, có nghĩa là hoàn toàn tin tưởng, có nguồn gốc từ luật bảo hiểm Anh và được coi là nguyên tắc cơ bản của luật bảo hiểm ở nhiều nước khác trên thế giới, dù là luật dân sự hay là thông luật.</w:t>
      </w:r>
    </w:p>
    <w:p w:rsidR="005F6AA0" w:rsidRPr="008354C2" w:rsidRDefault="005F6AA0" w:rsidP="005F6AA0">
      <w:pPr>
        <w:tabs>
          <w:tab w:val="left" w:pos="567"/>
        </w:tabs>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trung thực tuyệt đối yêu cầu những người tham gia đàm phán hợp đồng bảo hiểm phải cung cấp tất cả các thông tin liên quan cho tất cả các bên khác trong cuộc đàm phán. Ban đầu, nghĩa vụ về trung thực tuyệt đối chỉ áp dụng ở giai đoạn đề nghị giao kết hợp đồng. Ngày nay, ở nhiều nước khác nhau đã tiếp tục áp dụng nguyên tắc trung thực tuyệt đối khi mối quan hệ giữa người bảo hiểm và người được bảo hiểm vẫn tồn tại và việc áp nguyên tắc này đã được mở rộng để thực hiện các quyền theo hợp đồng và giải quyết bồi thường. Ở một số nước khác, nghĩa vụ cung cấp thông tin là một phần của nguyên tắc trung thực tuyệt đối. Do đó, không thể phân biệt được, trong khi ở các nơi khác, nghĩa vụ cung cấp thông tin là một nghĩa vụ riêng biệt áp dụng đối với người được bảo hiểm theo luật.</w:t>
      </w:r>
    </w:p>
    <w:p w:rsidR="005F6AA0" w:rsidRPr="008354C2" w:rsidRDefault="005F6AA0" w:rsidP="005F6AA0">
      <w:pPr>
        <w:tabs>
          <w:tab w:val="left" w:pos="567"/>
        </w:tabs>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trung thực tuyệt đối được áp dụng cho tất cả các loại hợp đồng bảo hiểm. Ở các quy định quốc tế, nguyên tắc trung thực tuyệt đối được đề cập tại luật của một số quốc gia cụ thể như sau:</w:t>
      </w:r>
    </w:p>
    <w:p w:rsidR="005F6AA0" w:rsidRPr="008354C2" w:rsidRDefault="005F6AA0" w:rsidP="00AC0339">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1.1.1. Trung Quốc</w:t>
      </w:r>
    </w:p>
    <w:p w:rsidR="005F6AA0" w:rsidRPr="008354C2" w:rsidRDefault="005F6AA0" w:rsidP="00AC0339">
      <w:pPr>
        <w:spacing w:before="120" w:after="120"/>
        <w:jc w:val="both"/>
        <w:rPr>
          <w:rFonts w:ascii="Times New Roman" w:hAnsi="Times New Roman" w:cs="Times New Roman"/>
          <w:i/>
          <w:sz w:val="28"/>
          <w:szCs w:val="28"/>
          <w:lang w:val="it-IT"/>
        </w:rPr>
      </w:pPr>
      <w:r w:rsidRPr="008354C2">
        <w:rPr>
          <w:rFonts w:ascii="Times New Roman" w:hAnsi="Times New Roman" w:cs="Times New Roman"/>
          <w:sz w:val="28"/>
          <w:szCs w:val="28"/>
          <w:lang w:val="it-IT"/>
        </w:rPr>
        <w:t xml:space="preserve">Không có định nghĩa cụ thể nào về nguyên tắc </w:t>
      </w:r>
      <w:r w:rsidRPr="008354C2">
        <w:rPr>
          <w:rFonts w:ascii="Times New Roman" w:hAnsi="Times New Roman" w:cs="Times New Roman"/>
          <w:i/>
          <w:sz w:val="28"/>
          <w:szCs w:val="28"/>
          <w:lang w:val="it-IT"/>
        </w:rPr>
        <w:t>“trung thực tuyệt đối”</w:t>
      </w:r>
      <w:r w:rsidRPr="008354C2">
        <w:rPr>
          <w:rFonts w:ascii="Times New Roman" w:hAnsi="Times New Roman" w:cs="Times New Roman"/>
          <w:sz w:val="28"/>
          <w:szCs w:val="28"/>
          <w:lang w:val="it-IT"/>
        </w:rPr>
        <w:t xml:space="preserve"> trong luật bảo hiểm Trung Quốc. Tuy nhiên, người ta thường chấp nhận rằng Điều 5 của Luật Bảo hiểm nước Cộng hòa nhân dân Trung Hoa là cơ sở pháp lý của nguyên tắc trung thực, </w:t>
      </w:r>
      <w:r w:rsidRPr="008354C2">
        <w:rPr>
          <w:rFonts w:ascii="Times New Roman" w:hAnsi="Times New Roman" w:cs="Times New Roman"/>
          <w:i/>
          <w:sz w:val="28"/>
          <w:szCs w:val="28"/>
          <w:lang w:val="it-IT"/>
        </w:rPr>
        <w:t>“Các bên tham gia hoạt động bảo hiểm phải tuân theo nguyên tắc trung thực khi thực hiện quyền và nghĩa vụ của mình”.</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Điều 16 và 17 của Luật Bảo hiểm nước Cộng hòa nhân dân Trung Hoa tiếp tục xây dựng nguyên tắc trung thực tuyệt đối bằng cách quy định các nghĩa vụ của người bảo hiểm và người nộp đơn bảo hiểm. Đó là quy định: “</w:t>
      </w:r>
      <w:r w:rsidRPr="008354C2">
        <w:rPr>
          <w:rFonts w:ascii="Times New Roman" w:hAnsi="Times New Roman" w:cs="Times New Roman"/>
          <w:i/>
          <w:sz w:val="28"/>
          <w:szCs w:val="28"/>
          <w:lang w:val="it-IT"/>
        </w:rPr>
        <w:t>Trường hợp doanh nghiệp bảo hiểm hỏi về đối tượng được bảo hiểm hoặc về người được bảo hiểm khi giao kết hợp đồng bảo hiểm thì người yêu cầu bảo hiểm phải nói sự thật</w:t>
      </w:r>
      <w:r w:rsidRPr="008354C2">
        <w:rPr>
          <w:rFonts w:ascii="Times New Roman" w:hAnsi="Times New Roman" w:cs="Times New Roman"/>
          <w:sz w:val="28"/>
          <w:szCs w:val="28"/>
          <w:lang w:val="it-IT"/>
        </w:rPr>
        <w:t>” và “</w:t>
      </w:r>
      <w:r w:rsidRPr="008354C2">
        <w:rPr>
          <w:rFonts w:ascii="Times New Roman" w:hAnsi="Times New Roman" w:cs="Times New Roman"/>
          <w:i/>
          <w:sz w:val="28"/>
          <w:szCs w:val="28"/>
          <w:lang w:val="it-IT"/>
        </w:rPr>
        <w:t>Trường hợp hợp đồng bảo hiểm được giao kết bằng cách sử dụng các điều khoản tiêu chuẩn của doanh nghiệp bảo hiểm, thì doanh nghiệp bảo hiểm phải cung cấp hợp đồng bảo hiểm với các điều khoản tiêu chuẩn kèm theo và giải thích nội dung của hợp đồng cho người yêu cầu bảo hiểm</w:t>
      </w:r>
      <w:r w:rsidRPr="008354C2">
        <w:rPr>
          <w:rFonts w:ascii="Times New Roman" w:hAnsi="Times New Roman" w:cs="Times New Roman"/>
          <w:sz w:val="28"/>
          <w:szCs w:val="28"/>
          <w:lang w:val="it-IT"/>
        </w:rPr>
        <w:t>”.</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này được áp dụng cho tất cả các loại hợp đồng bảo hiểm và được áp dụng cho giai đoạn tiền hợp đồng cũng như các giai đoạn tiếp theo sau đó.</w:t>
      </w:r>
    </w:p>
    <w:p w:rsidR="005F6AA0" w:rsidRPr="008354C2" w:rsidRDefault="005F6AA0" w:rsidP="00AC0339">
      <w:pPr>
        <w:tabs>
          <w:tab w:val="left" w:pos="2517"/>
        </w:tabs>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1.1.2. Pháp</w:t>
      </w:r>
      <w:r w:rsidRPr="008354C2">
        <w:rPr>
          <w:rFonts w:ascii="Times New Roman" w:hAnsi="Times New Roman" w:cs="Times New Roman"/>
          <w:b/>
          <w:sz w:val="28"/>
          <w:szCs w:val="28"/>
          <w:lang w:val="it-IT"/>
        </w:rPr>
        <w:tab/>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Luật bảo hiểm của Pháp không quy định một nguyên tắc cụ thể nào về trung thực tuyệt đối. Điều 1134 của Bộ luật Dân sự Pháp quy định rằng tất cả các hợp đồng </w:t>
      </w:r>
      <w:r w:rsidRPr="008354C2">
        <w:rPr>
          <w:rFonts w:ascii="Times New Roman" w:hAnsi="Times New Roman" w:cs="Times New Roman"/>
          <w:i/>
          <w:sz w:val="28"/>
          <w:szCs w:val="28"/>
          <w:lang w:val="it-IT"/>
        </w:rPr>
        <w:t>“phải được thực hiện một cách trung thực”.</w:t>
      </w:r>
      <w:r w:rsidRPr="008354C2">
        <w:rPr>
          <w:rFonts w:ascii="Times New Roman" w:hAnsi="Times New Roman" w:cs="Times New Roman"/>
          <w:sz w:val="28"/>
          <w:szCs w:val="28"/>
          <w:lang w:val="it-IT"/>
        </w:rPr>
        <w:t xml:space="preserve"> Do đó, các điều khoản này được áp dụng cho tất cả các hợp đồng bảo hiểm và tái bảo hiểm. </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Tuy nhiên, nguyên tắc trung thực tuyệt đối được phản ánh trong các điều khoản luật liên quan đến bảo hiểm quy định nghĩa vụ của cả người được bảo hiểm và doanh nghiệp bảo hiểm. Luật bảo hiểm của Pháp nêu rõ, trong nghĩa vụ của từng bên tham gia bảo hiểm. Cụ thể:</w:t>
      </w:r>
    </w:p>
    <w:p w:rsidR="005F6AA0" w:rsidRPr="008354C2" w:rsidRDefault="00AC0339" w:rsidP="00AC0339">
      <w:pPr>
        <w:spacing w:before="120" w:after="120"/>
        <w:jc w:val="both"/>
        <w:rPr>
          <w:rFonts w:ascii="Times New Roman" w:hAnsi="Times New Roman" w:cs="Times New Roman"/>
          <w:i/>
          <w:sz w:val="28"/>
          <w:szCs w:val="28"/>
          <w:lang w:val="it-IT"/>
        </w:rPr>
      </w:pPr>
      <w:r w:rsidRPr="008354C2">
        <w:rPr>
          <w:rFonts w:ascii="Times New Roman" w:hAnsi="Times New Roman" w:cs="Times New Roman"/>
          <w:sz w:val="28"/>
          <w:szCs w:val="28"/>
          <w:lang w:val="it-IT"/>
        </w:rPr>
        <w:t xml:space="preserve">- </w:t>
      </w:r>
      <w:r w:rsidR="005F6AA0" w:rsidRPr="008354C2">
        <w:rPr>
          <w:rFonts w:ascii="Times New Roman" w:hAnsi="Times New Roman" w:cs="Times New Roman"/>
          <w:i/>
          <w:sz w:val="28"/>
          <w:szCs w:val="28"/>
          <w:lang w:val="it-IT"/>
        </w:rPr>
        <w:t>Điều L113-2</w:t>
      </w:r>
      <w:r w:rsidR="005F6AA0" w:rsidRPr="008354C2">
        <w:rPr>
          <w:rFonts w:ascii="Times New Roman" w:hAnsi="Times New Roman" w:cs="Times New Roman"/>
          <w:sz w:val="28"/>
          <w:szCs w:val="28"/>
          <w:lang w:val="it-IT"/>
        </w:rPr>
        <w:t xml:space="preserve"> quy định</w:t>
      </w:r>
      <w:r w:rsidRPr="008354C2">
        <w:rPr>
          <w:rFonts w:ascii="Times New Roman" w:hAnsi="Times New Roman" w:cs="Times New Roman"/>
          <w:sz w:val="28"/>
          <w:szCs w:val="28"/>
          <w:lang w:val="it-IT"/>
        </w:rPr>
        <w:t xml:space="preserve"> </w:t>
      </w:r>
      <w:r w:rsidR="005F6AA0" w:rsidRPr="008354C2">
        <w:rPr>
          <w:rFonts w:ascii="Times New Roman" w:hAnsi="Times New Roman" w:cs="Times New Roman"/>
          <w:sz w:val="28"/>
          <w:szCs w:val="28"/>
          <w:lang w:val="it-IT"/>
        </w:rPr>
        <w:t>Người được bảo hiểm phải có nghĩa vụ: “</w:t>
      </w:r>
      <w:r w:rsidR="005F6AA0" w:rsidRPr="008354C2">
        <w:rPr>
          <w:rFonts w:ascii="Times New Roman" w:hAnsi="Times New Roman" w:cs="Times New Roman"/>
          <w:i/>
          <w:sz w:val="28"/>
          <w:szCs w:val="28"/>
          <w:lang w:val="it-IT"/>
        </w:rPr>
        <w:t>Trả lời trung thực các câu hỏi mà doanh nghiệp bảo hiểm đặt ra, cụ thể theo mẫu báo cáo tổn thất mà doanh nghiệp bảo hiểm hỏi người được bảo hiểm tại thời điểm ký hợp đồng theo các điều kiện hỗ trợ doanh nghiệp bảo hiểm đánh giá rủi ro mà doanh nghiệp bảo hiểm phải bảo hiểm”.</w:t>
      </w:r>
    </w:p>
    <w:p w:rsidR="005F6AA0" w:rsidRPr="008354C2" w:rsidRDefault="00AC0339" w:rsidP="00AC0339">
      <w:pPr>
        <w:spacing w:before="120" w:after="120"/>
        <w:jc w:val="both"/>
        <w:rPr>
          <w:rFonts w:ascii="Times New Roman" w:hAnsi="Times New Roman" w:cs="Times New Roman"/>
          <w:i/>
          <w:sz w:val="28"/>
          <w:szCs w:val="28"/>
          <w:lang w:val="it-IT"/>
        </w:rPr>
      </w:pPr>
      <w:r w:rsidRPr="008354C2">
        <w:rPr>
          <w:rFonts w:ascii="Times New Roman" w:hAnsi="Times New Roman" w:cs="Times New Roman"/>
          <w:sz w:val="28"/>
          <w:szCs w:val="28"/>
          <w:lang w:val="it-IT"/>
        </w:rPr>
        <w:t xml:space="preserve">- </w:t>
      </w:r>
      <w:r w:rsidR="005F6AA0" w:rsidRPr="008354C2">
        <w:rPr>
          <w:rFonts w:ascii="Times New Roman" w:hAnsi="Times New Roman" w:cs="Times New Roman"/>
          <w:i/>
          <w:sz w:val="28"/>
          <w:szCs w:val="28"/>
          <w:lang w:val="it-IT"/>
        </w:rPr>
        <w:t>Điều L172-19</w:t>
      </w:r>
      <w:r w:rsidR="005F6AA0" w:rsidRPr="008354C2">
        <w:rPr>
          <w:rFonts w:ascii="Times New Roman" w:hAnsi="Times New Roman" w:cs="Times New Roman"/>
          <w:sz w:val="28"/>
          <w:szCs w:val="28"/>
          <w:lang w:val="it-IT"/>
        </w:rPr>
        <w:t xml:space="preserve"> quy định Người được bảo hiểm phải: </w:t>
      </w:r>
      <w:r w:rsidR="005F6AA0" w:rsidRPr="008354C2">
        <w:rPr>
          <w:rFonts w:ascii="Times New Roman" w:hAnsi="Times New Roman" w:cs="Times New Roman"/>
          <w:i/>
          <w:sz w:val="28"/>
          <w:szCs w:val="28"/>
          <w:lang w:val="it-IT"/>
        </w:rPr>
        <w:t>“kê khai trung thực tại thời điểm ký hợp đồng, toàn bộ các trường hợp mà người được bảo hiểm đã biết mà có thể ảnh hưởng đến đánh giá của doanh nghiệp bảo hiểm đối với rủi ro mà doanh nghiệp bảo hiểm”.</w:t>
      </w:r>
    </w:p>
    <w:p w:rsidR="005F6AA0" w:rsidRPr="008354C2" w:rsidRDefault="00AC0339" w:rsidP="00AC0339">
      <w:pPr>
        <w:spacing w:before="120" w:after="120"/>
        <w:jc w:val="both"/>
        <w:rPr>
          <w:rFonts w:ascii="Times New Roman" w:hAnsi="Times New Roman" w:cs="Times New Roman"/>
          <w:i/>
          <w:sz w:val="28"/>
          <w:szCs w:val="28"/>
          <w:lang w:val="it-IT"/>
        </w:rPr>
      </w:pPr>
      <w:r w:rsidRPr="008354C2">
        <w:rPr>
          <w:rFonts w:ascii="Times New Roman" w:hAnsi="Times New Roman" w:cs="Times New Roman"/>
          <w:sz w:val="28"/>
          <w:szCs w:val="28"/>
          <w:lang w:val="it-IT"/>
        </w:rPr>
        <w:t xml:space="preserve">- </w:t>
      </w:r>
      <w:r w:rsidR="005F6AA0" w:rsidRPr="008354C2">
        <w:rPr>
          <w:rFonts w:ascii="Times New Roman" w:hAnsi="Times New Roman" w:cs="Times New Roman"/>
          <w:i/>
          <w:sz w:val="28"/>
          <w:szCs w:val="28"/>
          <w:lang w:val="it-IT"/>
        </w:rPr>
        <w:t>Điều L172-28</w:t>
      </w:r>
      <w:r w:rsidR="005F6AA0" w:rsidRPr="008354C2">
        <w:rPr>
          <w:rFonts w:ascii="Times New Roman" w:hAnsi="Times New Roman" w:cs="Times New Roman"/>
          <w:sz w:val="28"/>
          <w:szCs w:val="28"/>
          <w:lang w:val="it-IT"/>
        </w:rPr>
        <w:t xml:space="preserve"> quy định: </w:t>
      </w:r>
      <w:r w:rsidR="005F6AA0" w:rsidRPr="008354C2">
        <w:rPr>
          <w:rFonts w:ascii="Times New Roman" w:hAnsi="Times New Roman" w:cs="Times New Roman"/>
          <w:i/>
          <w:sz w:val="28"/>
          <w:szCs w:val="28"/>
          <w:lang w:val="it-IT"/>
        </w:rPr>
        <w:t>“Người được bảo hiểm kê khai không trung thực đối với tổn thất sẽ bị mất quyền hưởng quyền lợi từ bảo hiểm”.</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Các nguyên tắc trên được áp dụng cho tất cả các loại hợp đồng bảo hiểm và cho giai đoạn đề nghị hợp đồng cũng như khi giao kết hợp đồng và trong suốt quá trình hợp đồng bảo hiểm có hiệu lực.</w:t>
      </w:r>
    </w:p>
    <w:p w:rsidR="005F6AA0" w:rsidRPr="008354C2" w:rsidRDefault="005F6AA0" w:rsidP="00AC0339">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1.1.3. Đức</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trung thực tuyệt đối thiện chí (“Grundsatz von Treu und Glauben”) được áp dụng trong luật hợp đồng bảo hiểm của Đức và thường được thừa nhận rằng hợp đồng bảo hiểm được điều chỉnh ở một mức độ đặc biệt bởi nguyên tắc đó.</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Cả doanh nghiệp bảo hiểm và người được bảo hiểm đều phải tuân theo nguyên tắc này và về mặt nào đó, bên bị thiệt hại cũng phải tuân theo nguyên tắc. Lý do nhấn mạnh nguyên tắc trung thực tuyệt đối trong hợp đồng bảo hiểm là một trong hai bên phụ thuộc vào sự hỗ trợ của bên kia vì sự thiếu thông tin của mình: Người được bảo hiểm chỉ có kiến ​​thức về các trường hợp cơ bản liên quan đến việc giao kết hợp đồng như cũng như yêu cầu giải quyết bồi thường. Doanh nghiệp bảo hiểm có kiến ​​thức nhiều hơn về việc tính toán phí bảo hiểm, kinh doanh, chuyên môn sâu rộng và các nguồn lực với kiến ​​thức đặc biệt mà họ có thể sử dụng.</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này được áp dụng cho tất cả các loại hợp đồng bảo hiểm, cho giai đoạn đề nghị giao kết hợp đồng cũng như các giai đoạn sau đó.</w:t>
      </w:r>
    </w:p>
    <w:p w:rsidR="005F6AA0" w:rsidRPr="008354C2" w:rsidRDefault="005F6AA0" w:rsidP="00AC0339">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1.1.4. Thái Lan</w:t>
      </w:r>
    </w:p>
    <w:p w:rsidR="005F6AA0" w:rsidRPr="008354C2" w:rsidRDefault="005F6AA0" w:rsidP="00AC0339">
      <w:pPr>
        <w:spacing w:before="120" w:after="120"/>
        <w:jc w:val="both"/>
        <w:rPr>
          <w:rFonts w:ascii="Times New Roman" w:hAnsi="Times New Roman" w:cs="Times New Roman"/>
          <w:i/>
          <w:sz w:val="28"/>
          <w:szCs w:val="28"/>
          <w:lang w:val="it-IT"/>
        </w:rPr>
      </w:pPr>
      <w:r w:rsidRPr="008354C2">
        <w:rPr>
          <w:rFonts w:ascii="Times New Roman" w:hAnsi="Times New Roman" w:cs="Times New Roman"/>
          <w:sz w:val="28"/>
          <w:szCs w:val="28"/>
          <w:lang w:val="it-IT"/>
        </w:rPr>
        <w:t xml:space="preserve">Nguyên tắc trung thực tuyệt đối không được quy định cụ thể trong Bộ luật Thương mại và Dân sự Thái Lan, bộ luật điều chỉnh các hợp đồng, bao gồm cả bảo hiểm. Tuy nhiên, có những quy định chung về cách thức áp dụng luật, đơn giản nói là phải được tiến hành một cách “trung thực”, tại mục 5 của Bộ luật Dân sự và Thương mại, </w:t>
      </w:r>
      <w:r w:rsidRPr="008354C2">
        <w:rPr>
          <w:rFonts w:ascii="Times New Roman" w:hAnsi="Times New Roman" w:cs="Times New Roman"/>
          <w:i/>
          <w:sz w:val="28"/>
          <w:szCs w:val="28"/>
          <w:lang w:val="it-IT"/>
        </w:rPr>
        <w:t xml:space="preserve">“Khi thực hiện về quyền của mình và trong việc thực hiện nghĩa vụ của mình, mỗi bên phải hành động một cách trung thực”; </w:t>
      </w:r>
      <w:r w:rsidRPr="008354C2">
        <w:rPr>
          <w:rFonts w:ascii="Times New Roman" w:hAnsi="Times New Roman" w:cs="Times New Roman"/>
          <w:sz w:val="28"/>
          <w:szCs w:val="28"/>
          <w:lang w:val="it-IT"/>
        </w:rPr>
        <w:t>và tại Phần 6,</w:t>
      </w:r>
      <w:r w:rsidRPr="008354C2">
        <w:rPr>
          <w:rFonts w:ascii="Times New Roman" w:hAnsi="Times New Roman" w:cs="Times New Roman"/>
          <w:i/>
          <w:sz w:val="28"/>
          <w:szCs w:val="28"/>
          <w:lang w:val="it-IT"/>
        </w:rPr>
        <w:t xml:space="preserve"> "Mọi người được coi là hành động trung thực".</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Do đó, tất cả các hợp đồng ở Thái Lan đều phải tuân theo nghĩa vụ trung thực chung và không có tiêu chuẩn nào cao hơn áp dụng cho các hợp đồng bảo hiểm. Nguyên tắc này được áp dụng cho tất cả các loại hợp đồng bảo hiểm, cho giai đoạn đề nghị giao kết hợp đồng cũng như sau đó.</w:t>
      </w:r>
    </w:p>
    <w:p w:rsidR="005F6AA0" w:rsidRPr="008354C2" w:rsidRDefault="005F6AA0" w:rsidP="00AC0339">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1.1.5. Anh</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Hợp đồng bảo hiểm theo luật của Anh được coi là hợp đồng </w:t>
      </w:r>
      <w:r w:rsidRPr="008354C2">
        <w:rPr>
          <w:rFonts w:ascii="Times New Roman" w:hAnsi="Times New Roman" w:cs="Times New Roman"/>
          <w:i/>
          <w:sz w:val="28"/>
          <w:szCs w:val="28"/>
          <w:lang w:val="it-IT"/>
        </w:rPr>
        <w:t>“trung thực tuyệt đối”.</w:t>
      </w:r>
      <w:r w:rsidRPr="008354C2">
        <w:rPr>
          <w:rFonts w:ascii="Times New Roman" w:hAnsi="Times New Roman" w:cs="Times New Roman"/>
          <w:sz w:val="28"/>
          <w:szCs w:val="28"/>
          <w:lang w:val="it-IT"/>
        </w:rPr>
        <w:t xml:space="preserve"> Theo đó, một người mua bảo hiểm có nghĩa vụ đối với công ty bảo hiểm là phải cung cấp tất cả các sự kiện quan trọng và không được đưa ra bất kỳ sự gian dối trọng yếu nào.</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Lý do làm cơ sở cho nguyên tắc này là hợp đồng bảo hiểm, không giống như hầu hết các hợp đồng thương mại khác, về cơ bản là một hợp đồng do một bên xây dựng, đó là doanh nghiệp bảo hiểm. Về mặt lịch sử, người được bảo hiểm sở hữu tất cả các tài liệu thông tin về rủi ro được bảo hiểm. Để có thể đánh giá rủi ro một cách chính xác, bao gồm cả việc định phí bảo hiểm, công ty bảo hiểm dựa vào việc công bố tất cả các dữ kiện sẽ ảnh hưởng đến khả năng xảy ra tổn thất và mức độ tổn thất đó.</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này được áp dụng cho tất cả các loại hợp đồng bảo hiểm, cho giai đoạn đề nghị giao kết hợp đồng cũng như sau đó.</w:t>
      </w:r>
    </w:p>
    <w:p w:rsidR="005F6AA0" w:rsidRPr="008354C2" w:rsidRDefault="005F6AA0" w:rsidP="00AC0339">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1.1.6. Hoa Kỳ</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Nói chung, luật bảo hiểm ở Hoa Kỳ công nhận nguyên tắc trung thực tuyệt đối chỉ trong một số trường hợp hạn chế: (i) bảo hiểm hàng hải (thường được điều chỉnh bởi luật liên bang Hoa Kỳ), trong đó nguyên tắc này đã được áp dụng trong bối cảnh trách nhiệm của chủ hợp đồng bảo hiểm là cung cấp các sự kiện quan trọng cho công ty bảo hiểm liên quan đến việc mua hợp đồng bảo hiểm, và (ii) các hợp đồng tái bảo hiểm, trong đó nguyên tắc này thường tuân theo luật chung của Anh và áp dụng cho cả nhà nhận và nhượng tái bảo hiểm. Một số ít các bang cho rằng nguyên tắc trung thực tuyệt đối cũng có thể áp dụng trong các hợp đồng bảo hiểm khác đối với hợp đồng bảo hiểm hàng hải, trong đó bên mua bảo hiểm có trách nhiệm cung cấp các thông tin quan trọng cho công ty bảo hiểm liên quan đến việc mua hợp đồng bảo hiểm.</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Tuy nhiên, Luật tiểu bang ở Hoa Kỳ là luật riêng và do đó người ta phải phân tích luật của bang tương ứng. Một tòa án của tiểu bang công nhận rõ ràng rằng các hợp đồng bảo hiểm là hợp đồng trung thực tuyệt đối là ở bang New Jersey. Theo nguyên tắc trung thực tuyệt đối ở Bang New Jersey, doanh nghiệp bảo hiểm phải đối xử công bằng với người được bảo hiểm và người được bảo hiểm cũng phải đối xử công bằng với doanh nghiệp bảo hiểm. Nguyên tắc này được áp dụng cho tất cả các loại hợp đồng bảo hiểm.</w:t>
      </w:r>
    </w:p>
    <w:p w:rsidR="005F6AA0"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Các tòa án ở Bang New Jersey đã thảo luận rằng các công ty bảo hiểm phải có nghĩa vụ trung thực tuyệt đối đối với người được bảo hiểm của họ bởi vì các hợp đồng bảo hiểm là hợp đồng lâu dài mà các công ty bảo hiểm là người được ủy thác. Tuy nhiên, các tòa án ở New Jersey dường như không xử lý nghĩa vụ này một cách riêng biệt với nghĩa vụ khác của công ty bảo hiểm là trung thực và xử lý công bằng theo hợp đồng bảo hiểm.</w:t>
      </w:r>
    </w:p>
    <w:p w:rsidR="005F6AA0"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 </w:t>
      </w:r>
      <w:r w:rsidR="005F6AA0" w:rsidRPr="008354C2">
        <w:rPr>
          <w:rFonts w:ascii="Times New Roman" w:hAnsi="Times New Roman" w:cs="Times New Roman"/>
          <w:sz w:val="28"/>
          <w:szCs w:val="28"/>
          <w:lang w:val="it-IT"/>
        </w:rPr>
        <w:t>Ví dụ, hầu hết các Tiểu bang khác như California, Massachusetts hoặc Illinois chỉ áp dụng (với một số ngoại lệ hạn chế dựa trên phán quyết của Tòa án) nguyên tắc trung thực thông thường đối với các hợp đồng bảo hiểm.</w:t>
      </w:r>
    </w:p>
    <w:p w:rsidR="005F6AA0" w:rsidRPr="008354C2" w:rsidRDefault="005F6AA0" w:rsidP="00AC0339">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1.1.7. Úc</w:t>
      </w:r>
    </w:p>
    <w:p w:rsidR="00AC0339" w:rsidRPr="008354C2" w:rsidRDefault="005F6AA0"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Luật Bảo hiểm Úc có riêng 1 phần quy định về nghĩa vụ trung thực tuyệt đối. </w:t>
      </w:r>
    </w:p>
    <w:p w:rsidR="005F6AA0"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 </w:t>
      </w:r>
      <w:r w:rsidR="005F6AA0" w:rsidRPr="008354C2">
        <w:rPr>
          <w:rFonts w:ascii="Times New Roman" w:hAnsi="Times New Roman" w:cs="Times New Roman"/>
          <w:sz w:val="28"/>
          <w:szCs w:val="28"/>
          <w:lang w:val="it-IT"/>
        </w:rPr>
        <w:t>Theo đó, Điều 13 Phần II nêu về nghĩa vụ trung thực tuyệt đối như sau:</w:t>
      </w:r>
    </w:p>
    <w:p w:rsidR="005F6AA0" w:rsidRPr="008354C2" w:rsidRDefault="003F1122" w:rsidP="00AC0339">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(1) </w:t>
      </w:r>
      <w:r w:rsidR="005F6AA0" w:rsidRPr="008354C2">
        <w:rPr>
          <w:rFonts w:ascii="Times New Roman" w:hAnsi="Times New Roman" w:cs="Times New Roman"/>
          <w:i/>
          <w:sz w:val="28"/>
          <w:szCs w:val="28"/>
          <w:lang w:val="it-IT"/>
        </w:rPr>
        <w:t>Hợp đồng bảo hiểm là hợp đồng dựa trên lòng tin cao nhất và một điều khoản trong hợp đồng đó ngụ ý yêu cầu mỗi bên phải làm việc với bên kia, đối với bất kỳ vấn đề nào phát sinh hoặc liên quan đến nó, bằng lòng tin cao nhất.</w:t>
      </w:r>
    </w:p>
    <w:p w:rsidR="005F6AA0" w:rsidRPr="008354C2" w:rsidRDefault="005F6AA0" w:rsidP="00AC0339">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Nếu một bên tham gia hợp đồng bảo hiểm không tuân thủ quy định tại tiểu mục (1) là vi phạm các yêu cầu của Luật này.</w:t>
      </w:r>
    </w:p>
    <w:p w:rsidR="005F6AA0"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 </w:t>
      </w:r>
      <w:r w:rsidR="005F6AA0" w:rsidRPr="008354C2">
        <w:rPr>
          <w:rFonts w:ascii="Times New Roman" w:hAnsi="Times New Roman" w:cs="Times New Roman"/>
          <w:sz w:val="28"/>
          <w:szCs w:val="28"/>
          <w:lang w:val="it-IT"/>
        </w:rPr>
        <w:t>Điều 14 Phần II quy định các bên tin tưởng các điều khoản một cách trung thực tuyệt đối:</w:t>
      </w:r>
    </w:p>
    <w:p w:rsidR="005F6AA0" w:rsidRPr="008354C2" w:rsidRDefault="003F1122" w:rsidP="00AC0339">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(1) </w:t>
      </w:r>
      <w:r w:rsidR="005F6AA0" w:rsidRPr="008354C2">
        <w:rPr>
          <w:rFonts w:ascii="Times New Roman" w:hAnsi="Times New Roman" w:cs="Times New Roman"/>
          <w:i/>
          <w:sz w:val="28"/>
          <w:szCs w:val="28"/>
          <w:lang w:val="it-IT"/>
        </w:rPr>
        <w:t>Nếu một bên tham gia vào hợp đồng bảo hiểm đối không tin tưởng một điều khoản của hợp đồng một cách trung thực tuyệt đối, thì bên đó có thể không tin tưởng điều khoản đó.</w:t>
      </w:r>
    </w:p>
    <w:p w:rsidR="005F6AA0" w:rsidRPr="008354C2" w:rsidRDefault="003F1122" w:rsidP="00AC0339">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(2) </w:t>
      </w:r>
      <w:r w:rsidR="005F6AA0" w:rsidRPr="008354C2">
        <w:rPr>
          <w:rFonts w:ascii="Times New Roman" w:hAnsi="Times New Roman" w:cs="Times New Roman"/>
          <w:i/>
          <w:sz w:val="28"/>
          <w:szCs w:val="28"/>
          <w:lang w:val="it-IT"/>
        </w:rPr>
        <w:t>Tiểu mục (1) không giới hạn quy định của Điều 13.</w:t>
      </w:r>
    </w:p>
    <w:p w:rsidR="005F6AA0" w:rsidRPr="008354C2" w:rsidRDefault="003F1122" w:rsidP="00AC0339">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(3) </w:t>
      </w:r>
      <w:r w:rsidR="005F6AA0" w:rsidRPr="008354C2">
        <w:rPr>
          <w:rFonts w:ascii="Times New Roman" w:hAnsi="Times New Roman" w:cs="Times New Roman"/>
          <w:i/>
          <w:sz w:val="28"/>
          <w:szCs w:val="28"/>
          <w:lang w:val="it-IT"/>
        </w:rPr>
        <w:t>Để quyết định liệu sự tin tưởng của công ty bảo hiểm vào một điều khoản của hợp đồng bảo hiểm có một cách trung thực tuyệt đối hay không, tòa án sẽ xem xét bất kỳ thông báo nào về điều khoản đó được gửi cho người được bảo hiểm, xem liệu thông báo có thuộc một trong các loại được đề cập trong Điều 37 hay không.</w:t>
      </w:r>
    </w:p>
    <w:p w:rsidR="005F6AA0"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 </w:t>
      </w:r>
      <w:r w:rsidR="005F6AA0" w:rsidRPr="008354C2">
        <w:rPr>
          <w:rFonts w:ascii="Times New Roman" w:hAnsi="Times New Roman" w:cs="Times New Roman"/>
          <w:sz w:val="28"/>
          <w:szCs w:val="28"/>
          <w:lang w:val="it-IT"/>
        </w:rPr>
        <w:t>Điều 14A quy định về quyền của cơ quan quản lý bảo hiểm Úc khi công ty bảo hiểm không tuân thủ nghĩa vụ trung thực tuyệt đối khi xử lý hoặc giải quyết yêu cầu bồi thường như sau:</w:t>
      </w:r>
    </w:p>
    <w:p w:rsidR="005F6AA0" w:rsidRPr="008354C2" w:rsidRDefault="005F6AA0" w:rsidP="00AC0339">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(1)  Khoản này áp dụng nếu công ty bảo hiểm cung cấp hợp đồng bảo hiểm không tuân thủ nghĩa vụ trung thực tuyệt đối trong việc xử lý hoặc giải quyết yêu cầu bồi thường hoặc yêu cầu bồi thường tiềm năng theo hợp đồng.</w:t>
      </w:r>
    </w:p>
    <w:p w:rsidR="005F6AA0" w:rsidRPr="008354C2" w:rsidRDefault="005F6AA0" w:rsidP="00AC0339">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Bất chấp các quy định của Chương 7 của Luật Doanh nghiệp năm 2001 hoặc bất kỳ quy định nào được thực hiện theo Chương đó, cơ quan quản lý bảo hiểm có thể thực hiện các quyền của mình theo tiểu mục C của Mục 4, Phần 7,6 của Luật đó hoặc tiểu mục A của Mục 8 của Phần đó liên quan tới công ty bảo hiểm khi công ty bảo hiểm không tuân thủ nghĩa vụ trung thực tuyệt đối có nghĩa là công ty bảo hiểm đã không tuân thủ pháp luật về dịch vụ tài chính.</w:t>
      </w:r>
    </w:p>
    <w:p w:rsidR="00AC0339" w:rsidRPr="008354C2" w:rsidRDefault="00AC0339" w:rsidP="00AC0339">
      <w:pPr>
        <w:spacing w:before="120" w:after="120" w:line="240" w:lineRule="auto"/>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1.2. Nguyên tắc quyền lợi có thể được bảo hiểm</w:t>
      </w:r>
    </w:p>
    <w:p w:rsidR="00AC0339"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Quyền lợi có thể được bảo hiểm có nghĩa là đối tượng của hợp đồng bảo hiểm phải cung cấp một số lợi ích tài chính hiện có cho người được bảo hiểm (hoặc bên mua bảo hiểm) và sẽ dẫn đến tổn thất tài chính nếu bị hư hỏng, phá hủy, đánh cắp hoặc mất mát. Người được bảo hiểm phải có quyền lợi có thể được bảo hiểm đối với đối tượng của hợp đồng bảo hiểm. Chủ sở hữu được cho là có quyền lợi có thể bảo hiểm cho đến khi anh ta không còn là chủ sở hữu.</w:t>
      </w:r>
    </w:p>
    <w:p w:rsidR="00AC0339"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Trong bảo hiểm nhân thọ, quyền lợi có thể được bảo hiểm tồn tại khi người được bảo hiểm về cơ bản thu được một khoản tài chính hoặc một loại lợi ích khác từ sự tồn tại liên tục của người được bảo hiểm - và ngược lại, nếu người được bảo hiểm chết, người thụ hưởng sẽ phải chịu một số loại thua lỗ.</w:t>
      </w:r>
    </w:p>
    <w:p w:rsidR="00AC0339"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Việc không có quyền lợi có thể được bảo hiểm có thể làm cho hợp đồng bảo hiểm đang được đề cập đến vô hiệu. Nguyên tắc này được áp dụng cho tất cả các loại hợp đồng bảo hiểm. Theo quy định quốc tế, nguyên tắc quyền lợi có thể được bảo hiểm được đề cập theo những cách như sau:</w:t>
      </w:r>
    </w:p>
    <w:p w:rsidR="00AC0339" w:rsidRPr="008354C2" w:rsidRDefault="00AC0339" w:rsidP="00AC0339">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1.2.1. Singapore</w:t>
      </w:r>
    </w:p>
    <w:p w:rsidR="00AC0339"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Mục 57 của Đạo luật Bảo hiểm (Đạo luật số 142) yêu cầu tất cả các hợp đồng bảo hiểm nhân thọ phải có quyền lợi có thể được bảo hiểm tại thời điểm hợp đồng này có hiệu lực. Điều này nhằm đảm bảo rằng các hợp đồng bảo hiểm không được mua để đánh bạc tính mạng của các cá nhân cụ thể và các sự kiện khác. Quyền lợi có thể được bảo hiểm không cần phải tồn tại trong suốt thời hạn của hợp đồng bảo hiểm nhân thọ hoặc trong khi yêu cầu trả tiền bảo hiểm. Hợp đồng bảo hiểm nhân thọ có thể được chỉ định cho một bên thứ ba, người sau đó sẽ được trả quyền lợi bảo hiểm, mặc dù anh ta không có quyền lợi có thể được bảo hiểm đối với người được bảo hiểm. Ngoài ra, theo Mục 49L và 49M của Đạo luật Bảo hiểm (Đạo luật số 142), chủ sở hữu hợp đồng bảo hiểm nhân thọ có thể đề cử những người thụ hưởng thích hợp để nhận số tiền tử vong từ hợp đồng bảo hiểm.</w:t>
      </w:r>
    </w:p>
    <w:p w:rsidR="00AC0339"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Đối với các hợp đồng bảo hiểm hàng hải, việc chứng minh sự tồn tại của quyền lợi có thể được bảo hiểm là không cần thiết tại thời điểm bảo hiểm có hiệu lực. Tuy nhiên, phải chứng minh được quyền lợi có thể được bảo hiểm tại thời điểm xảy ra tổn thất theo quy định tại Mục 6 của Đạo luật Bảo hiểm hàng hải (Đạo luật số 387). Bất kỳ hợp đồng bảo hiểm hàng hải nào không có quyền lợi có thể được bảo hiểm tại thời điểm xảy ra tổn thất đều được coi là vô hiệu. Điều này đặc biệt quan trọng trong bảo hiểm hàng hóa và bảo hiểm hàng hải, trong đó người nắm giữ hợp đồng bảo hiểm tại thời điểm hàng hóa bị mất chỉ cần thể hiện quyền lợi của mình tại thời điểm đó, không phải khi chuyến đi bắt đầu. Điều này theo tập quán buôn bán hàng hải vì hàng hóa có thể thay đổi quyền sở hữu trong quá trình vận chuyển.</w:t>
      </w:r>
    </w:p>
    <w:p w:rsidR="00AC0339"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Đối với các hợp đồng bảo hiểm phi nhân thọ và phi hàng hải khác như bảo hiểm tài sản và trách nhiệm, quyền lợi có thể được bảo hiểm phải tồn tại tại thời điểm hợp đồng được giao kết và tại thời điểm tổn thất.</w:t>
      </w:r>
    </w:p>
    <w:p w:rsidR="00AC0339" w:rsidRPr="008354C2" w:rsidRDefault="00AC0339" w:rsidP="00AC0339">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1.2.2. Thụy Sĩ</w:t>
      </w:r>
    </w:p>
    <w:p w:rsidR="00AC0339" w:rsidRPr="008354C2" w:rsidRDefault="00AC0339" w:rsidP="00AC0339">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Thụy Sĩ là một trong những quốc gia mà cung cấp rõ ràng mối liên hệ giữa lợi ích kinh tế và quyền lợi có thể được bảo hiểm trong luật của quốc gia bằng cách quy định rằng </w:t>
      </w:r>
      <w:r w:rsidRPr="008354C2">
        <w:rPr>
          <w:rFonts w:ascii="Times New Roman" w:hAnsi="Times New Roman" w:cs="Times New Roman"/>
          <w:i/>
          <w:sz w:val="28"/>
          <w:szCs w:val="28"/>
          <w:lang w:val="it-IT"/>
        </w:rPr>
        <w:t>“đối tượng của bảo hiểm tài sản có thể là bất kỳ lợi ích kinh tế nào mà ai đó phải gánh chịu trong một sự kiện tổn thất”.</w:t>
      </w:r>
      <w:r w:rsidRPr="008354C2">
        <w:rPr>
          <w:rFonts w:ascii="Times New Roman" w:hAnsi="Times New Roman" w:cs="Times New Roman"/>
          <w:sz w:val="28"/>
          <w:szCs w:val="28"/>
          <w:lang w:val="it-IT"/>
        </w:rPr>
        <w:t xml:space="preserve"> Mặc dù luật hợp đồng bảo hiểm của Thụy Sĩ gắn quyền lợi có thể được bảo hiểm với thời điểm hợp đồng bảo hiểm có hiệu lực, nhưng rõ ràng quyền lợi này có thể được sửa đổi nếu nó không tương ứng với giá trị thực tế của đối tượng được bảo hiểm.</w:t>
      </w:r>
    </w:p>
    <w:p w:rsidR="00AC0339" w:rsidRPr="008354C2" w:rsidRDefault="00AC0339" w:rsidP="008D302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Ở Châu Âu, bất chấp Chỉ thị về Khả năng thanh toán II gần đây, nguyên tắc quyền lợi có thể được bảo hiểm vẫn chưa được công nhận trên cơ sở toàn Châu Âu và do đó, phải theo quy định của từng quốc gia.</w:t>
      </w:r>
    </w:p>
    <w:p w:rsidR="00AC0339" w:rsidRPr="008354C2" w:rsidRDefault="00AC0339" w:rsidP="008D302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1.2.3. Anh</w:t>
      </w:r>
    </w:p>
    <w:p w:rsidR="00AC0339" w:rsidRPr="008354C2" w:rsidRDefault="00AC0339" w:rsidP="008D302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Luật Anh theo truyền thống đã áp dụng một cách tiếp cận chặt chẽ để thiết lập quyền lợi có thể bảo hiểm bằng cách liên kết nó với nguyên tắc bồi thường (ngay cả trong bảo hiểm con người), và phân biệt các chế độ pháp lý khác nhau về quyền lợi có thể được bảo hiểm trong bảo hiểm phi nhân thọ và bảo hiểm nhân thọ. Luật Anh quy định rằng quyền lợi có thể được bảo hiểm trong bảo hiểm phi nhân thọ bao gồm hai yếu tố: </w:t>
      </w:r>
      <w:r w:rsidRPr="008354C2">
        <w:rPr>
          <w:rFonts w:ascii="Times New Roman" w:hAnsi="Times New Roman" w:cs="Times New Roman"/>
          <w:i/>
          <w:sz w:val="28"/>
          <w:szCs w:val="28"/>
          <w:lang w:val="it-IT"/>
        </w:rPr>
        <w:t>một người phải chứng minh không chỉ lợi ích kinh tế đối với đối tượng được bảo hiểm mà còn phải có quan hệ pháp lý với đối tượng được bảo hiểm</w:t>
      </w:r>
      <w:r w:rsidRPr="008354C2">
        <w:rPr>
          <w:rFonts w:ascii="Times New Roman" w:hAnsi="Times New Roman" w:cs="Times New Roman"/>
          <w:sz w:val="28"/>
          <w:szCs w:val="28"/>
          <w:lang w:val="it-IT"/>
        </w:rPr>
        <w:t xml:space="preserve">. Liên quan đến quyền lợi có thể bảo hiểm trong bảo hiểm nhân thọ, có thể áp dụng một trong bốn quy định khác nhau: </w:t>
      </w:r>
      <w:r w:rsidRPr="008354C2">
        <w:rPr>
          <w:rFonts w:ascii="Times New Roman" w:hAnsi="Times New Roman" w:cs="Times New Roman"/>
          <w:i/>
          <w:sz w:val="28"/>
          <w:szCs w:val="28"/>
          <w:lang w:val="it-IT"/>
        </w:rPr>
        <w:t>(1) quyền lợi có thể được bảo hiểm phát sinh tự nhiên; (2) quyền lợi có thể được bảo hiểm phát sinh từ một khoản lỗ tài chính tiềm tàng, được pháp luật thừa nhận và có thể được thể hiện tại thời điểm hợp đồng; (3) quyền lợi có thể được bảo hiểm phát sinh ngoài các điều khoản luật định; và (4) quyền lợi có thể được bảo hiểm được tòa án công nhận không thuộc bất kỳ loại nào ở trên</w:t>
      </w:r>
      <w:r w:rsidRPr="008354C2">
        <w:rPr>
          <w:rFonts w:ascii="Times New Roman" w:hAnsi="Times New Roman" w:cs="Times New Roman"/>
          <w:sz w:val="28"/>
          <w:szCs w:val="28"/>
          <w:lang w:val="it-IT"/>
        </w:rPr>
        <w:t>.</w:t>
      </w:r>
    </w:p>
    <w:p w:rsidR="00AC0339" w:rsidRPr="008354C2" w:rsidRDefault="00AC0339" w:rsidP="008D302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1.2.4. Pháp</w:t>
      </w:r>
    </w:p>
    <w:p w:rsidR="00AC0339" w:rsidRPr="008354C2" w:rsidRDefault="00AC0339" w:rsidP="008D3027">
      <w:pPr>
        <w:spacing w:before="120" w:after="120"/>
        <w:jc w:val="both"/>
        <w:rPr>
          <w:rFonts w:ascii="Times New Roman" w:hAnsi="Times New Roman" w:cs="Times New Roman"/>
          <w:i/>
          <w:sz w:val="28"/>
          <w:szCs w:val="28"/>
          <w:lang w:val="it-IT"/>
        </w:rPr>
      </w:pPr>
      <w:r w:rsidRPr="008354C2">
        <w:rPr>
          <w:rFonts w:ascii="Times New Roman" w:hAnsi="Times New Roman" w:cs="Times New Roman"/>
          <w:sz w:val="28"/>
          <w:szCs w:val="28"/>
          <w:lang w:val="it-IT"/>
        </w:rPr>
        <w:t>Tương tự như ở Thụy Sĩ, quy định về hợp đồng bảo hiểm của Pháp liên quan đến bảo hiểm phi hàng hải quy định rằng “</w:t>
      </w:r>
      <w:r w:rsidRPr="008354C2">
        <w:rPr>
          <w:rFonts w:ascii="Times New Roman" w:hAnsi="Times New Roman" w:cs="Times New Roman"/>
          <w:i/>
          <w:sz w:val="28"/>
          <w:szCs w:val="28"/>
          <w:lang w:val="it-IT"/>
        </w:rPr>
        <w:t>một người có quan tâm đến việc bảo vệ tài sản có thể được bảo hiểm”</w:t>
      </w:r>
      <w:r w:rsidRPr="008354C2">
        <w:rPr>
          <w:rFonts w:ascii="Times New Roman" w:hAnsi="Times New Roman" w:cs="Times New Roman"/>
          <w:sz w:val="28"/>
          <w:szCs w:val="28"/>
          <w:lang w:val="it-IT"/>
        </w:rPr>
        <w:t xml:space="preserve">. Mối quan tâm này được định nghĩa một cách rộng rãi bằng cách nêu rõ rằng </w:t>
      </w:r>
      <w:r w:rsidRPr="008354C2">
        <w:rPr>
          <w:rFonts w:ascii="Times New Roman" w:hAnsi="Times New Roman" w:cs="Times New Roman"/>
          <w:i/>
          <w:sz w:val="28"/>
          <w:szCs w:val="28"/>
          <w:lang w:val="it-IT"/>
        </w:rPr>
        <w:t>“bất kỳ lợi ích trực tiếp hoặc gián tiếp nào khi rủi ro chưa xảy ra có thể là đối tượng bảo hiểm”.</w:t>
      </w:r>
    </w:p>
    <w:p w:rsidR="00AC0339" w:rsidRPr="008354C2" w:rsidRDefault="00AC0339" w:rsidP="008D302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1.2.5. Đức</w:t>
      </w:r>
    </w:p>
    <w:p w:rsidR="00AC0339" w:rsidRPr="008354C2" w:rsidRDefault="00AC0339" w:rsidP="008D302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Đạo luật hợp đồng bảo hiểm của Đức quy định rằng quyền lợi có thể được bảo hiểm được gắn với giá trị của đối tượng được bảo hiểm được xác lập trong thời gian rủi ro bảo hiểm xảy ra. Tòa án Tối cao Liên bang Đức đã thiết lập cách tiếp cận mà quyền lợi có thể được bảo hiểm bao gồm lợi ích kinh tế được thiết lập trong từng hợp đồng bảo hiểm riêng lẻ. Luật bảo hiểm của Đức đề cập đến khả năng này, ví dụ như trong các đoạn từ 43 đến 48:</w:t>
      </w:r>
    </w:p>
    <w:p w:rsidR="00AC0339" w:rsidRPr="008354C2" w:rsidRDefault="008D3027" w:rsidP="0031204C">
      <w:pPr>
        <w:spacing w:before="120" w:after="1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 </w:t>
      </w:r>
      <w:r w:rsidR="00AC0339" w:rsidRPr="008354C2">
        <w:rPr>
          <w:rFonts w:ascii="Times New Roman" w:hAnsi="Times New Roman" w:cs="Times New Roman"/>
          <w:i/>
          <w:sz w:val="28"/>
          <w:szCs w:val="28"/>
          <w:lang w:val="it-IT"/>
        </w:rPr>
        <w:t>Điều 43 Định nghĩa</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(1) Bên mua bảo hiểm có thể mua hợp đồng bảo hiểm dưới danh nghĩa của mình cho người khác có hoặc không nêu tên bên thứ ba được bảo hiểm (bảo hiểm cho tài khoản của bên thứ ba).</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(2) Nếu hợp đồng bảo hiểm được thực hiện cho một người khác, thì trong trường hợp nghi ngờ, ngay cả khi bên thứ ba được nêu tên, bên mua bảo hiểm không được đóng vai trò là đại lý của mình mà nhân danh chính mình cho tài khoản của bên thứ ba.</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(3) Nếu các trường hợp không cho thấy rằng hợp đồng bảo hiểm sẽ được ký kết cho một người khác, thì hợp đồng bảo hiểm đó được coi là đã được lập cho chính bên mua bảo hiểm.</w:t>
      </w:r>
    </w:p>
    <w:p w:rsidR="00AC0339" w:rsidRPr="008354C2" w:rsidRDefault="008D3027" w:rsidP="0031204C">
      <w:pPr>
        <w:spacing w:before="120" w:after="1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 </w:t>
      </w:r>
      <w:r w:rsidR="00AC0339" w:rsidRPr="008354C2">
        <w:rPr>
          <w:rFonts w:ascii="Times New Roman" w:hAnsi="Times New Roman" w:cs="Times New Roman"/>
          <w:i/>
          <w:sz w:val="28"/>
          <w:szCs w:val="28"/>
          <w:lang w:val="it-IT"/>
        </w:rPr>
        <w:t>Điều 44 Quyền của người được bảo hiểm</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(1) Trong trường hợp bảo hiểm cho bên thứ ba, người được bảo hiểm nắm giữ các quyền trong hợp đồng bảo hiểm. Tuy nhiên, chỉ chủ hợp đồng mới có thể yêu cầu gửi hợp đồng bảo hiểm cho mình.</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(2) Người được bảo hiểm chỉ có thể yêu cầu các quyền của mình mà không có sự đồng ý của bên mua bảo hiểm và khẳng định các quyền này trước tòa nếu anh ta đang sở hữu hợp đồng bảo hiểm.</w:t>
      </w:r>
    </w:p>
    <w:p w:rsidR="00AC0339" w:rsidRPr="008354C2" w:rsidRDefault="008D3027" w:rsidP="0031204C">
      <w:pPr>
        <w:spacing w:before="120" w:after="1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 </w:t>
      </w:r>
      <w:r w:rsidR="00AC0339" w:rsidRPr="008354C2">
        <w:rPr>
          <w:rFonts w:ascii="Times New Roman" w:hAnsi="Times New Roman" w:cs="Times New Roman"/>
          <w:i/>
          <w:sz w:val="28"/>
          <w:szCs w:val="28"/>
          <w:lang w:val="it-IT"/>
        </w:rPr>
        <w:t>Điều 45 Quyền của bên mua bảo hiểm</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(1) Bên mua bảo hiểm có thể từ bỏ các quyền mà người được bảo hiểm được hưởng trên cơ sở hợp đồng bảo hiểm nhân danh mình.</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(2) Nếu hợp đồng bảo hiểm đã được phát hành, bên mua bảo hiểm chỉ được ủy quyền nhận quyền lợi từ doanh nghiệp bảo hiểm và chuyển giao quyền lợi của người được bảo hiểm mà không cần sự đồng ý của người được bảo hiểm nếu bên mua bảo hiểm đang sở hữu hợp đồng bảo hiểm.</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(3) Doanh nghiệp bảo hiểm chỉ chịu trách nhiệm đối với bên mua bảo hiểm nếu người được bảo hiểm đồng ý với việc đó.</w:t>
      </w:r>
    </w:p>
    <w:p w:rsidR="00AC0339" w:rsidRPr="008354C2" w:rsidRDefault="008D3027" w:rsidP="0031204C">
      <w:pPr>
        <w:spacing w:before="120" w:after="1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 </w:t>
      </w:r>
      <w:r w:rsidR="00AC0339" w:rsidRPr="008354C2">
        <w:rPr>
          <w:rFonts w:ascii="Times New Roman" w:hAnsi="Times New Roman" w:cs="Times New Roman"/>
          <w:i/>
          <w:sz w:val="28"/>
          <w:szCs w:val="28"/>
          <w:lang w:val="it-IT"/>
        </w:rPr>
        <w:t>Điều 46 Quyền giữa chủ hợp đồng và người được bảo hiểm</w:t>
      </w:r>
    </w:p>
    <w:p w:rsidR="00AC0339" w:rsidRPr="008354C2" w:rsidRDefault="00AC0339" w:rsidP="00401A40">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Bên mua bảo hiểm sẽ không có nghĩa vụ giao hợp đồng bảo hiểm cho người được bảo hiểm hoặc, trong trường hợp thực hiện các thủ tục mất khả năng thanh toán đối với tài sản của bên mua bảo hiểm, cho đến khi giải quyết được các khiếu nại của bên mua bảo hiểm đối với người được bảo hiểm liên quan đến đối tượng được bảo hiểm. Bên mua bảo hiểm có thể giải quyết các khiếu nại này bằng việc yêu cầu công ty bảo hiểm bồi thường và, sau khi thu được tiền, hoặc bằng tiền bồi thường đã  trả trước cho người được bảo hiểm và sau đó là chủ nợ.</w:t>
      </w:r>
    </w:p>
    <w:p w:rsidR="00AC0339" w:rsidRPr="008354C2" w:rsidRDefault="008D3027" w:rsidP="0031204C">
      <w:pPr>
        <w:spacing w:before="120" w:after="1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 </w:t>
      </w:r>
      <w:r w:rsidR="00AC0339" w:rsidRPr="008354C2">
        <w:rPr>
          <w:rFonts w:ascii="Times New Roman" w:hAnsi="Times New Roman" w:cs="Times New Roman"/>
          <w:i/>
          <w:sz w:val="28"/>
          <w:szCs w:val="28"/>
          <w:lang w:val="it-IT"/>
        </w:rPr>
        <w:t>Điều 47 Kiến thức và ứng xử của người được bảo hiểm</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(1) Ngoài tầm quan trọng về mặt pháp lý đối với nhận thức và hành vi của bên mua bảo hiểm, cần xem xét đến cả nhận thức và hành vi của người được bảo hiểm trong trường hợp bảo hiểm cho bên thứ ba.</w:t>
      </w:r>
    </w:p>
    <w:p w:rsidR="00AC0339" w:rsidRPr="008354C2" w:rsidRDefault="00AC0339" w:rsidP="008D3027">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 (2) Cần xem xét hiểu biết của người được bảo hiểm nếu người này không biết đến sự tồn tại của hợp đồng bảo hiểm hoặc không thể thông báo kịp thời cho chủ hợp đồng bảo hiểm. Công ty bảo hiểm không cần xem xét kiến nghị rằng, hợp đồng bảo hiểm được lập mà người được bảo hiểm không biết nếu như chủ hợp đồng bảo hiểm ký hợp đồng mà không có ý kiến của người được bảo hiểm và không cho công ty bảo hiểm biết tại thời điểm ký hợp đồng rằng, chủ hợp đồng bảo hiểm ký hợp đồng mà không có ý kiến của người được bảo hiểm.</w:t>
      </w:r>
    </w:p>
    <w:p w:rsidR="00AC0339" w:rsidRPr="008354C2" w:rsidRDefault="008D3027" w:rsidP="0031204C">
      <w:pPr>
        <w:spacing w:before="120" w:after="1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 </w:t>
      </w:r>
      <w:r w:rsidR="00AC0339" w:rsidRPr="008354C2">
        <w:rPr>
          <w:rFonts w:ascii="Times New Roman" w:hAnsi="Times New Roman" w:cs="Times New Roman"/>
          <w:i/>
          <w:sz w:val="28"/>
          <w:szCs w:val="28"/>
          <w:lang w:val="it-IT"/>
        </w:rPr>
        <w:t>Điều 48 Bảo hiểm cho những người có liên quan</w:t>
      </w:r>
    </w:p>
    <w:p w:rsidR="00AC0339" w:rsidRPr="008354C2" w:rsidRDefault="00AC0339" w:rsidP="00401A40">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Nếu bảo hiểm được lập cho “những người có liên quan” hoặc nếu hợp đồng quy định theo cách khác rằng, hợp đồng là không xác định dù một lợi ích cá nhân hay lợi ích của người khác được bảo đảm, các Điều trên sẽ áp dụng nếu hợp đồng có thể được ký kết từ các tình huống thể hiện lợi ích của người khác được bảo hiểm</w:t>
      </w:r>
      <w:r w:rsidR="0031204C" w:rsidRPr="008354C2">
        <w:rPr>
          <w:rFonts w:ascii="Times New Roman" w:hAnsi="Times New Roman" w:cs="Times New Roman"/>
          <w:sz w:val="28"/>
          <w:szCs w:val="28"/>
          <w:lang w:val="it-IT"/>
        </w:rPr>
        <w:t>.</w:t>
      </w:r>
    </w:p>
    <w:p w:rsidR="00AC0339" w:rsidRPr="008354C2" w:rsidRDefault="00AC0339" w:rsidP="008D302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1.2.6. Trung Quốc</w:t>
      </w:r>
    </w:p>
    <w:p w:rsidR="00AC0339" w:rsidRPr="008354C2" w:rsidRDefault="008D3027" w:rsidP="008D3027">
      <w:pPr>
        <w:spacing w:before="120" w:after="1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 </w:t>
      </w:r>
      <w:r w:rsidR="00AC0339" w:rsidRPr="008354C2">
        <w:rPr>
          <w:rFonts w:ascii="Times New Roman" w:hAnsi="Times New Roman" w:cs="Times New Roman"/>
          <w:i/>
          <w:sz w:val="28"/>
          <w:szCs w:val="28"/>
          <w:lang w:val="it-IT"/>
        </w:rPr>
        <w:t xml:space="preserve">Điều 12 của Luật bảo hiểm Trung Quốc quy định rằng: </w:t>
      </w:r>
    </w:p>
    <w:p w:rsidR="00AC0339" w:rsidRPr="008354C2" w:rsidRDefault="00AC0339" w:rsidP="00D027B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Người có hợp đồng bảo hiểm sẽ có quyền lợi có thể được bảo hiểm đối với người được bảo hiểm tại thời điểm hợp đồng bảo hiểm được hình thành. </w:t>
      </w:r>
    </w:p>
    <w:p w:rsidR="00AC0339" w:rsidRPr="008354C2" w:rsidRDefault="00AC0339" w:rsidP="00D027B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Người được bảo hiểm trong bảo hiểm tài sản có quyền lợi có thể được bảo hiểm được đối với đối tượng được bảo hiểm tại thời điểm xảy ra sự kiện bảo hiểm thuộc phạm vi bảo hiểm. </w:t>
      </w:r>
    </w:p>
    <w:p w:rsidR="00AC0339" w:rsidRPr="008354C2" w:rsidRDefault="00AC0339" w:rsidP="00D027B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Bảo hiểm con người là loại hình bảo hiểm lấy tính mạng, sức khỏe của con người làm đối tượng bảo hiểm. </w:t>
      </w:r>
    </w:p>
    <w:p w:rsidR="00AC0339" w:rsidRPr="008354C2" w:rsidRDefault="00AC0339" w:rsidP="00D027B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Bảo hiểm tài sản là loại hình bảo hiểm lấy tài sản và lợi ích liên quan đến tài sản làm đối tượng bảo hiểm. </w:t>
      </w:r>
    </w:p>
    <w:p w:rsidR="00AC0339" w:rsidRPr="008354C2" w:rsidRDefault="00AC0339" w:rsidP="00D027B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“Người được bảo hiểm” là người có tài sản, tính mạng hoặc sức khỏe được bảo hiểm trong hợp đồng bảo hiểm và có quyền yêu cầu quyền lợi bảo hiểm. Bên mua bảo hiểm có thể đồng thời là người được bảo hiểm. </w:t>
      </w:r>
    </w:p>
    <w:p w:rsidR="00AC0339" w:rsidRPr="008354C2" w:rsidRDefault="00AC0339" w:rsidP="00D027B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Quyền lợi có thể được bảo hiểm là quyền lợi được công nhận hợp pháp của bên mua bảo hiểm hoặc người được bảo hiểm đối với đối tượng được bảo hiểm.</w:t>
      </w:r>
    </w:p>
    <w:p w:rsidR="00AC0339" w:rsidRPr="008354C2" w:rsidRDefault="008D3027" w:rsidP="00D027BE">
      <w:pPr>
        <w:spacing w:before="120" w:after="120"/>
        <w:jc w:val="both"/>
        <w:rPr>
          <w:rFonts w:ascii="Times New Roman" w:hAnsi="Times New Roman" w:cs="Times New Roman"/>
          <w:i/>
          <w:sz w:val="28"/>
          <w:szCs w:val="28"/>
          <w:lang w:val="it-IT"/>
        </w:rPr>
      </w:pPr>
      <w:r w:rsidRPr="008354C2">
        <w:rPr>
          <w:rFonts w:ascii="Times New Roman" w:hAnsi="Times New Roman" w:cs="Times New Roman"/>
          <w:sz w:val="28"/>
          <w:szCs w:val="28"/>
          <w:lang w:val="it-IT"/>
        </w:rPr>
        <w:t xml:space="preserve">- </w:t>
      </w:r>
      <w:r w:rsidR="00AC0339" w:rsidRPr="008354C2">
        <w:rPr>
          <w:rFonts w:ascii="Times New Roman" w:hAnsi="Times New Roman" w:cs="Times New Roman"/>
          <w:i/>
          <w:sz w:val="28"/>
          <w:szCs w:val="28"/>
          <w:lang w:val="it-IT"/>
        </w:rPr>
        <w:t>Điều 31 cụ thể hơn về quyền lợi có thể được bảo hiểm, liên quan đến bảo hiểm con người</w:t>
      </w:r>
      <w:r w:rsidR="00AC0339" w:rsidRPr="008354C2">
        <w:rPr>
          <w:rFonts w:ascii="Times New Roman" w:hAnsi="Times New Roman" w:cs="Times New Roman"/>
          <w:sz w:val="28"/>
          <w:szCs w:val="28"/>
          <w:lang w:val="it-IT"/>
        </w:rPr>
        <w:t>:</w:t>
      </w:r>
      <w:r w:rsidR="00AC0339" w:rsidRPr="008354C2">
        <w:rPr>
          <w:rFonts w:ascii="Times New Roman" w:hAnsi="Times New Roman" w:cs="Times New Roman"/>
          <w:i/>
          <w:sz w:val="28"/>
          <w:szCs w:val="28"/>
          <w:lang w:val="it-IT"/>
        </w:rPr>
        <w:t xml:space="preserve"> “Bên mua bảo hiểm có quyền lợi có thể bảo hiểm đối với những người sau đây:</w:t>
      </w:r>
    </w:p>
    <w:p w:rsidR="00AC0339" w:rsidRPr="008354C2" w:rsidRDefault="00AC0339" w:rsidP="00401A40">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(1) Bản thân bên mua bảo hiểm;</w:t>
      </w:r>
    </w:p>
    <w:p w:rsidR="00AC0339" w:rsidRPr="008354C2" w:rsidRDefault="00AC0339" w:rsidP="00401A40">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(2) Vợ / chồng, con cái và cha mẹ của bên mua bảo hiểm;</w:t>
      </w:r>
    </w:p>
    <w:p w:rsidR="00AC0339" w:rsidRPr="008354C2" w:rsidRDefault="00AC0339" w:rsidP="00401A40">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(3) Các thành viên trong gia đình và những người thân thích không phải là những người đã nêu trên, những người đã nuôi dưỡng, hỗ trợ người được hưởng chính sách; hoặc là</w:t>
      </w:r>
    </w:p>
    <w:p w:rsidR="00AC0339" w:rsidRPr="008354C2" w:rsidRDefault="00AC0339" w:rsidP="00401A40">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(4) Người lao động có quan hệ lao động với bên mua bảo hiểm.</w:t>
      </w:r>
    </w:p>
    <w:p w:rsidR="00AC0339" w:rsidRPr="008354C2" w:rsidRDefault="00AC0339" w:rsidP="00A109B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Ngoài các quy định trên, bên mua bảo hiểm sẽ được coi là có quyền lợi có thể được bảo hiểm đối với người được bảo hiểm nếu người được bảo hiểm đồng ý với bên mua bảo hiểm giao kết hợp đồng cho họ. Nếu bên mua bảo hiểm không có quyền lợi có thể được bảo hiểm đối với người được bảo hiểm khi hợp đồng được giao kết thì hợp đồng sẽ vô hiệu”.</w:t>
      </w:r>
    </w:p>
    <w:p w:rsidR="00AC0339" w:rsidRPr="008354C2" w:rsidRDefault="00AC0339" w:rsidP="00401A40">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1.2.7. Úc</w:t>
      </w:r>
    </w:p>
    <w:p w:rsidR="00AC0339" w:rsidRPr="008354C2" w:rsidRDefault="00AC0339" w:rsidP="00401A40">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Luật bảo hiểm Úc quy định về quyền lợi có thể được bảo hiểm như sau:</w:t>
      </w:r>
    </w:p>
    <w:p w:rsidR="00AC0339" w:rsidRPr="008354C2" w:rsidRDefault="00AC0339" w:rsidP="00401A40">
      <w:pPr>
        <w:spacing w:before="120" w:after="120"/>
        <w:jc w:val="both"/>
        <w:rPr>
          <w:rFonts w:ascii="Times New Roman" w:hAnsi="Times New Roman" w:cs="Times New Roman"/>
          <w:i/>
          <w:sz w:val="28"/>
          <w:szCs w:val="28"/>
          <w:lang w:val="it-IT"/>
        </w:rPr>
      </w:pPr>
      <w:r w:rsidRPr="008354C2">
        <w:rPr>
          <w:rFonts w:ascii="Times New Roman" w:hAnsi="Times New Roman" w:cs="Times New Roman"/>
          <w:sz w:val="28"/>
          <w:szCs w:val="28"/>
          <w:lang w:val="it-IT"/>
        </w:rPr>
        <w:t xml:space="preserve">- </w:t>
      </w:r>
      <w:r w:rsidRPr="008354C2">
        <w:rPr>
          <w:rFonts w:ascii="Times New Roman" w:hAnsi="Times New Roman" w:cs="Times New Roman"/>
          <w:i/>
          <w:sz w:val="28"/>
          <w:szCs w:val="28"/>
          <w:lang w:val="it-IT"/>
        </w:rPr>
        <w:t>Đối với bảo hiểm phi nhân thọ</w:t>
      </w:r>
      <w:r w:rsidRPr="008354C2">
        <w:rPr>
          <w:rFonts w:ascii="Times New Roman" w:hAnsi="Times New Roman" w:cs="Times New Roman"/>
          <w:sz w:val="28"/>
          <w:szCs w:val="28"/>
          <w:lang w:val="it-IT"/>
        </w:rPr>
        <w:t xml:space="preserve">: Quyền lợi bảo hiểm là không bắt buộc tại thời điểm hợp đồng được ký kết. Theo đó, hợp đồng bảo hiểm phi nhân thọ sẽ không bị hủy nếu người được bảo hiểm có lý do chính đáng không có quyền lợi đối với chủ thể của hợp đồng, tại thời điểm hợp đồng được ký kết. </w:t>
      </w:r>
    </w:p>
    <w:p w:rsidR="005F6AA0" w:rsidRPr="008354C2" w:rsidRDefault="00AC0339" w:rsidP="00401A40">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 </w:t>
      </w:r>
      <w:r w:rsidRPr="008354C2">
        <w:rPr>
          <w:rFonts w:ascii="Times New Roman" w:hAnsi="Times New Roman" w:cs="Times New Roman"/>
          <w:i/>
          <w:sz w:val="28"/>
          <w:szCs w:val="28"/>
          <w:lang w:val="it-IT"/>
        </w:rPr>
        <w:t>Đối với hợp đồng bảo hiểm con người</w:t>
      </w:r>
      <w:r w:rsidRPr="008354C2">
        <w:rPr>
          <w:rFonts w:ascii="Times New Roman" w:hAnsi="Times New Roman" w:cs="Times New Roman"/>
          <w:sz w:val="28"/>
          <w:szCs w:val="28"/>
          <w:lang w:val="it-IT"/>
        </w:rPr>
        <w:t>: Hợp đồng bảo hiểm con người sẽ không bị hủy chỉ bởi lý do người được bảo hiểm không có quyền lợi đối với đối tượng được bảo hiểm của hợp đồng tại thời điểm hợp đồng được ký kết.</w:t>
      </w:r>
    </w:p>
    <w:p w:rsidR="00A109B7" w:rsidRPr="008354C2" w:rsidRDefault="00A109B7" w:rsidP="00A109B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1.3. Nguyên tắc bồi thường</w:t>
      </w:r>
    </w:p>
    <w:p w:rsidR="00A109B7" w:rsidRPr="008354C2" w:rsidRDefault="00A109B7" w:rsidP="00A109B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Bồi thường có nghĩa là bảo đảm, bảo vệ và bồi thường đối với thiệt hại, mất mát hoặc thương tích. Theo nguyên tắc bồi thường, hợp đồng bảo hiểm được ký kết chỉ để bảo vệ khỏi những tổn thất tài chính không được bảo đảm phát sinh do những bất trắc trong tương lai. Hợp đồng bảo hiểm không được thực hiện để kiếm lời; mục đích duy nhất của hợp đồng bảo hiểm là bồi thường trong trường hợp có thiệt hại hoặc mất mát. Có một mối liên hệ giữa nguyên tắc bồi thường và quyền lợi có thể được bảo hiểm. Mối liên hệ này thể hiện ở quyền lợi của người được bảo hiểm đối với đối tượng được bảo hiểm. Khi có khiếu nại, số tiền doanh nghiệp bảo hiểm trả cho người được bảo hiểm không được vượt quá quyền lợi được bảo hiểm của người đó. Khoản bồi thường của doanh nghiệp bảo hiểm trong các hợp đồng bảo hiểm thường chỉ đủ để khôi phục tình trạng tài chính ban đầu của người được bảo hiểm như trước khi xảy ra tổn thất.</w:t>
      </w:r>
    </w:p>
    <w:p w:rsidR="00A109B7" w:rsidRPr="008354C2" w:rsidRDefault="00A109B7" w:rsidP="00A109B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Trong hợp đồng bảo hiểm, số tiền bồi thường tương ứng với tổn thất phát sinh. Số tiền bồi thường được giới hạn trong số tiền bảo hiểm hoặc tổn thất thực tế, tùy theo số nào thấp hơn. Mức bồi thường không được thấp hơn hoặc nhiều hơn thiệt hại thực tế. Khoản bồi thường không được trả nếu tổn thất không xảy ra do một lý do cụ thể nào đó trong một khoảng thời gian cụ thể. Vì vậy, bảo hiểm chỉ để bảo vệ khỏi tổn thất chứ không phải để kiếm lời. Tuy nhiên, trong trường hợp bảo hiểm nhân thọ, nguyên tắc bồi thường không được áp dụng vì giá trị tính mạng con người không thể đo lường bằng tiền. </w:t>
      </w:r>
    </w:p>
    <w:p w:rsidR="00A109B7" w:rsidRPr="008354C2" w:rsidRDefault="00A109B7" w:rsidP="00A109B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Trên bình diện quốc tế, có rất ít thay đổi trong việc áp dụng hoặc hiểu nguyên tắc này. Cụ thể như sau:</w:t>
      </w:r>
    </w:p>
    <w:p w:rsidR="00A109B7" w:rsidRPr="008354C2" w:rsidRDefault="00A109B7" w:rsidP="00A109B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1.3.1. Trung Quốc</w:t>
      </w:r>
    </w:p>
    <w:p w:rsidR="00A109B7" w:rsidRPr="008354C2" w:rsidRDefault="00A109B7" w:rsidP="00A109B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Điều 55 Luật bảo hiểm Trung Quốc quy định như sau:</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“Trường hợp chủ hợp đồng và doanh nghiệp bảo hiểm đã thỏa thuận và quy định giá trị bảo hiểm của đối tượng được bảo hiểm trong hợp đồng thì giá trị bảo hiểm theo thỏa thuận trong hợp đồng là tiêu chuẩn để tính toán bồi thường khi xảy ra thiệt hại đối với đối tượng được bảo hiểm.</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Trường hợp chủ hợp đồng và doanh nghiệp bảo hiểm chưa thoả thuận về giá trị bảo hiểm của đối tượng được bảo hiểm thì giá trị thực tế của đối tượng được bảo hiểm là tiêu chuẩn để tính toán bồi thường khi xảy ra thiệt hại đối với đối tượng được bảo hiểm.</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Số tiền bảo hiểm không được vượt quá giá trị bảo hiểm. Phần vượt quá sẽ vô hiệu và doanh nghiệp bảo hiểm sẽ hoàn trả số phí bảo hiểm tương ứng cho chủ hợp đồng bảo hiểm.</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Trường hợp số tiền bảo hiểm nhỏ hơn giá trị bảo hiểm thì doanh nghiệp bảo hiểm phải chịu nghĩa vụ bồi thường theo tỷ lệ số tiền bảo hiểm và giá trị bảo hiểm, trừ trường hợp hợp đồng có quy định khác”.</w:t>
      </w:r>
    </w:p>
    <w:p w:rsidR="00A109B7" w:rsidRPr="008354C2" w:rsidRDefault="00A109B7" w:rsidP="00A109B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1.3.2. Châu Âu</w:t>
      </w:r>
    </w:p>
    <w:p w:rsidR="00A109B7" w:rsidRPr="008354C2" w:rsidRDefault="00A109B7" w:rsidP="00A109B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Luật Hợp đồng bảo hiểm Châu Âu có quy định chung đối với bồi thường bảo hiểm như sau:</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8: 101 Số tiền bảo hiểm tối đa phải trả</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(1) Công ty bảo hiểm không có nghĩa vụ phải trả nhiều hơn số tiền cần thiết để bồi thường thiệt hại thực tế của người được bảo hiểm.</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Một điều khoản mà cung cấp giá trị thỏa thuận của đối tượng được bảo hiểm sẽ có hiệu lực ngay cả khi giá trị được nói đến vượt quá giá trị thực tế của đối tượng được bảo hiểm, miễn là không có gian lận hoặc xuyên tạc từ phía chủ hợp đồng hoặc người được bảo hiểm tại thời điểm giá trị được thỏa thuận.</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8: 102 Bảo hiểm dưới giá trị</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(1) Công ty bảo hiểm phải chịu trách nhiệm đối với bất kỳ tổn thất bảo hiểm nào đối với số tiền được bảo hiểm ngay cả khi số tiền được bảo hiểm nhỏ hơn giá trị của tài sản được bảo hiểm tại thời điểm xảy ra sự kiện bảo hiểm.</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Tuy nhiên, khi công ty bảo hiểm cung cấp bảo hiểm phù hợp với khoản 1, sẽ được quyền đề nghị cung cấp bảo hiểm trên cơ sở rằng khoản bồi thường phải trả sẽ được giới hạn ở tỷ lệ mà số tiền bảo hiểm mang theo giá trị thực của tài sản tại thời điểm thiệt hại. Trong trường hợp đó, chi phí đề phòng hạn chế tổn thât, như được định nghĩa trong Điều 9: 102, sẽ được hoàn trả theo cùng một tỷ lệ.</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8: 103 Điều chỉnh các điều khoản trong trường hợp bảo hiểm trên giá trị</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(1) Nếu số tiền được bảo hiểm vượt quá mức tổn thất tối đa có thể, một trong hai bên có quyền yêu cầu giảm số tiền được bảo hiểm và giảm phí bảo hiểm tương ứng cho thời hạn còn lại của hợp đồng.</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Nếu các bên không đồng ý với mức giảm đó trong vòng một tháng kể từ ngày yêu cầu, một trong hai bên có quyền chấm dứt hợp đồng.</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Điều 8: 104 Bảo hiểm trùng</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(1) Nếu cùng một quyền lợi được bảo hiểm riêng bởi nhiều Công ty bảo hiểm, người được bảo hiểm có quyền yêu cầu bồi thường đối với một hoặc nhiều công ty bảo hiểm trong phạm vi cần thiết để bồi thường thiệt hại thực sự cho người được bảo hiểm.</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Công ty bảo hiểm không tuân thủ yêu cầu được đưa ra sẽ phải trả số tiền được bảo hiểm theo chính sách của mình, cùng với chi phí đề phòng hạn chế tổn thất nếu có, không ảnh hưởng đến quyền đóng góp của mình từ bất kỳ công ty bảo hiểm nào khác.</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(3) Giữa các công ty bảo hiểm, các quyền và nghĩa vụ được đề cập trong khoản 2 sẽ tương ứng với số tiền mà họ phải chịu trách nhiệm riêng với người được bảo hiểm”.</w:t>
      </w:r>
    </w:p>
    <w:p w:rsidR="00A109B7" w:rsidRPr="008354C2" w:rsidRDefault="00A109B7" w:rsidP="00A109B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1.3.3. Pháp</w:t>
      </w:r>
    </w:p>
    <w:p w:rsidR="00A109B7" w:rsidRPr="008354C2" w:rsidRDefault="00A109B7" w:rsidP="00A109B7">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Luật bảo hiểm của Pháp có những quy định liên quan đến nguyên tắc bồi thường đối với bảo hiểm tài sản như sau:</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L121-1</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Bảo hiểm đối với tài sản là một hợp đồng bồi thường. Khoản bồi thường mà doanh nghiệp bảo hiểm thanh toán cho người được bảo hiểm không được vượt quá giá trị của tài sản được bảo hiểm tại thời điểm tổn thất.</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L121-3</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Khi một hợp đồng bảo hiểm đã được cấp cho một khoản tiền vượt quá giá trị của tài sản được bảo hiểm, nếu có gian lận của một trong các bên, bên còn lại có thể tố tụng/khởi kiện để vô hiệu hóa hợp đồng và để yêu cầu bồi thường thiệt hại.</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Nếu không có gian lận, hợp đồng sẽ có hiệu lực nhưng chỉ trong giới hạn giá trị thực tế của tài sản được bảo hiểm và doanh nghiệp bảo hiểm không được hưởng phí đối với phần dư. Doanh nghiệp bảo hiểm sẽ chỉ được hưởng khoản phí bảo hiểm đã đến hạn và phí bảo hiểm đến hạn của năm hiện tại. </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 - Điều L121-4</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Bất cứ đối tượng nào được bảo hiểm bởi nhiều doanh nghiệp bảo hiểm theo nhiều hợp đồng cho cùng một quyền lợi đối với cùng một rủi ro phải thông báo ngay cho từng doanh nghiệp bảo hiểm về các doanh nghiệp bảo hiểm khác.</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Tại thời điểm thông báo này, người được bảo hiểm phải thông báo tên của doanh nghiệp bảo hiểm đã ký hợp đồng bảo hiểm khác và ghi rõ số tiền được bảo hiểm.</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Khi ký kết nhiều hợp đồng bảo hiểm cho cùng rủi ro bằng một cách gian lận, các hình phạt được quy định trong đoạn đầu của Điều L121-3 sẽ được áp dụng.</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Khi các hợp đồng được ký kết không có gian lận, mỗi hợp đồng sẽ có hiệu lực trong hạn mức bảo hiểm của hợp đồng và theo Điều L121-1, bất kể ngày hợp đồng bảo hiểm được ký. Trong các hạn mức như vậy, người thụ hưởng hợp đồng có thể xin bồi thường đối với tổn thất bằng cách liên hệ doanh nghiệp bảo hiểm mà mình lựa chọn.</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Trong các mối quan hệ giữa các doanh nghiệp bảo hiểm, mỗi khoản đóng góp của doanh nghiệp bảo hiểm sẽ được xác định bằng cách áp dụng tỷ lệ giữa khoản bồi thường sẽ được thanh toán nếu khoản bồi thường là duy nhất và tổng giá trị bồi thường mà mỗi doanh nghiệp bảo hiểm sẽ phải trả nếu doanh nghiệp bảo hiểm là bên duy nhất bảo hiểm giá trị tổn thất này. </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L121-5</w:t>
      </w:r>
    </w:p>
    <w:p w:rsidR="00A109B7" w:rsidRPr="008354C2" w:rsidRDefault="00A109B7" w:rsidP="00A109B7">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Nếu các ước tính chỉ ra rằng giá trị của tài sản được bảo hiểm vượt quá số tiền bảo hiểm tại ngày tổn thất, người được bảo hiểm sẽ không được hưởng phần bảo hiểm dư ra so với số tiền đã được quy định trước đó và do vậy sẽ phải chịu phần tổn thất đó nếu không có nhất trí nào khác/sự thỏa thuận nào khác giữa các bên”.</w:t>
      </w:r>
    </w:p>
    <w:p w:rsidR="00A109B7" w:rsidRPr="008354C2" w:rsidRDefault="00A109B7" w:rsidP="00A109B7">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 xml:space="preserve">1.3.4. Hoa Kỳ: </w:t>
      </w:r>
      <w:r w:rsidRPr="008354C2">
        <w:rPr>
          <w:rFonts w:ascii="Times New Roman" w:hAnsi="Times New Roman" w:cs="Times New Roman"/>
          <w:sz w:val="28"/>
          <w:szCs w:val="28"/>
          <w:lang w:val="it-IT"/>
        </w:rPr>
        <w:t xml:space="preserve">Tại Hoa Kỳ, theo nguyên tắc bồi thường của bảo hiểm, người được bảo hiểm chỉ được nhận số tiền bồi thường bảo hiểm cho tổn thất thực tế và không phải trả thêm một khoản tiền nào trên số tiền này. </w:t>
      </w:r>
    </w:p>
    <w:p w:rsidR="00FE59EE" w:rsidRPr="008354C2" w:rsidRDefault="00FE59EE" w:rsidP="00FE59EE">
      <w:pPr>
        <w:spacing w:before="120" w:after="120" w:line="240" w:lineRule="auto"/>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1.4. Nguyên tắc Thế quyền</w:t>
      </w:r>
    </w:p>
    <w:p w:rsidR="00FE59EE" w:rsidRPr="008354C2" w:rsidRDefault="00FE59EE" w:rsidP="00FE59E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Thế quyền là nguyên tắc pháp lý, theo đó bên được bảo hiểm từ bỏ quyền lợi của mình đối với bên thứ ba cho doanh nghiệp bảo hiểm sau khi yêu cầu bồi thường và nhận được bồi thường bảo hiểm (không áp dụng trong bảo hiểm nhân thọ).</w:t>
      </w:r>
    </w:p>
    <w:p w:rsidR="00FE59EE" w:rsidRPr="008354C2" w:rsidRDefault="00FE59EE" w:rsidP="00FE59E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thế quyền là một phần mở rộng và là một hệ quả khác của nguyên tắc bồi thường. Nguyên tắc này thường chỉ áp dụng cho các hợp đồng được bồi thường bảo hiểm. Theo nguyên tắc thế quyền, khi người được bảo hiểm được bồi thường những tổn thất đối với tài sản được bảo hiểm của mình, thì quyền sở hữu đối với tài sản đó chuyển sang cho doanh nghiệp bảo hiểm. Nguyên tắc này chỉ được áp dụng khi tài sản bị thiệt hại còn nguyên giá trị sau sự kiện gây ra thiệt hại.</w:t>
      </w:r>
    </w:p>
    <w:p w:rsidR="00FE59EE" w:rsidRPr="008354C2" w:rsidRDefault="00FE59EE" w:rsidP="00FE59E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Trên thế giới, nguyên tắc thế quyền được áp dụng với các mức độ khác nhau giữa các nước, cụ thể là trong các lĩnh vực sau:</w:t>
      </w:r>
    </w:p>
    <w:p w:rsidR="00FE59EE" w:rsidRPr="008354C2" w:rsidRDefault="00FE59EE" w:rsidP="00FE59EE">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Các nước cho phép doanh nghiệp bảo hiểm có thể sử dụng quyền thu hồi đối với bên thứ ba. Ở một số khu vực pháp lý không có hạn chế đối với việc này như Anh, Pháp, Đức, Singapore, Thái Lan, Mỹ. Tuy nhiên, ở các nước khác, quyền thu hồi chỉ có thể được sử dụng khi, ví dụ, bên thứ ba đã hoàn toàn cẩu thả hoặc có hành vi phạm tội. Một quy định phổ biến khác là doanh nghiệp bảo hiểm không có khả năng sử dụng quyền thu hồi đối với các thành viên gia đình của bên mua bảo hiểm.</w:t>
      </w:r>
    </w:p>
    <w:p w:rsidR="00FE59EE" w:rsidRPr="008354C2" w:rsidRDefault="00FE59EE" w:rsidP="00FE59EE">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 Quyền thu hồi được thực hiện dưới danh nghĩa của ai. Ở nhiều nước, công ty bảo hiểm có quyền thu hồi đối với bên thứ ba nhân danh chính mình như ở Anh, Pháp, Đức, Thái Lan. Tuy nhiên, trong các nước khác, công ty bảo hiểm ‘mượn’ tên của bên mua bảo hiểm để theo đuổi các quyền của mình chống lại bên thứ ba như tại Singapore. Ở Mỹ, doanh nghiệp bảo hiểm có thể thực hiện theo cả hai cách. </w:t>
      </w:r>
    </w:p>
    <w:p w:rsidR="00FE59EE" w:rsidRPr="008354C2" w:rsidRDefault="00FE59EE" w:rsidP="00FE59EE">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Điều gì sẽ xảy ra khi bên mua bảo hiểm có những tổn thất không được bồi thường đầy đủ bằng số tiền bảo hiểm hiện có và khoản thu hồi của bên thứ ba không đủ để bồi thường toàn bộ cho doanh nghiệp bảo hiểm và người được bảo hiểm? Có rất nhiều sự khác nhau giữa quy định của các nước ở đây, bao gồm: (i) bên mua bảo hiểm được ưu tiên hơn số tiền thu được như tại Pháp, Mỹ; (ii) công ty bảo hiểm được ưu tiên hơn số tiền thu được; (iii) trong một số ít trường hợp, công ty bảo hiểm và bên mua bảo hiểm chia sẻ số tiền thu được theo tỷ lệ như tại Đức; (iv) một số nước áp dụng cách tiếp cận ‘từ trên xuống’ do các tòa án Anh thiết lập; hoặc (v) không có quy định cụ thể nào để giải quyết vấn đề này như tại Thái Lan. Cụ thể ở Singapore, việc thu hồi được phân chia theo thứ tự ưu tiên sau: Thứ nhất cho người được bảo hiểm đối với những tổn thất không được bảo hiểm, sau đó là người bảo hiểm đối với những tổn thất được bảo hiểm; và cuối cùng cho người được bảo hiểm về khoản khấu trừ /vượt quá. Tại Luật bảo hiểm các nước, nguyên tắc thế quyền được đề cập cụ thể như sau:</w:t>
      </w:r>
    </w:p>
    <w:p w:rsidR="00FE59EE" w:rsidRPr="008354C2" w:rsidRDefault="00FE59EE" w:rsidP="00FE59EE">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1.4.1. Trung Quốc</w:t>
      </w:r>
    </w:p>
    <w:p w:rsidR="00FE59EE" w:rsidRPr="008354C2" w:rsidRDefault="00FE59EE" w:rsidP="00FE59E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thế quyền được chủ yếu đề cập tại Điều 60:</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“Khi xảy ra sự kiện thuộc phạm vi bảo hiểm dẫn đến mất mát, hư hỏng đối tượng được bảo hiểm bởi bên thứ ba, kể từ ngày trả tiền bồi thường cho người được bảo hiểm, doanh nghiệp bảo hiểm sẽ thực hiện quyền của người được bảo hiểm để yêu cầu người thứ ba bồi thường tối đa là số tiền bồi thường được thanh toán.</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Sau khi xảy ra sự cố thuộc phạm vi bảo hiểm nêu ở đoạn trên, khi thanh toán tiền bồi thường, công ty bảo hiểm có thể khấu trừ một số tiền tương ứng mà người được bảo hiểm đã nhận là tiền bồi thường từ bên thứ ba.</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Thế quyền do người bảo hiểm thực hiện trong giai đoạn đầu sẽ không ảnh hưởng đến quyền của người được bảo hiểm trong việc bồi thường đối với bên thứ ba đối với phần không được bồi thường”.</w:t>
      </w:r>
    </w:p>
    <w:p w:rsidR="00FE59EE" w:rsidRPr="008354C2" w:rsidRDefault="00FE59EE" w:rsidP="00FE59EE">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1.4.2. Đức</w:t>
      </w:r>
    </w:p>
    <w:p w:rsidR="00FE59EE" w:rsidRPr="008354C2" w:rsidRDefault="00FE59EE" w:rsidP="00FE59E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Điều 86 Luật bảo hiểm Đức quy định về chuyển nhượng quyền yêu cầu bồi thường như sau:</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“(1) Nếu chủ hợp đồng bảo hiểm có quyền yêu cầu bồi thường thiệt hại từ một bên thứ ba thì quyền yêu cầu bồi thường này sẽ được chuyển nhượng cho công ty bảo hiểm trong phạm vi công ty bảo hiểm bồi thường cho tổn thất đó. Yêu cầu bồi thường này không được chuyển nhượng gây thiệt hại cho chủ hợp đồng bảo hiểm.</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Chủ hợp đồng bảo hiểm phải bảo đảm yêu cầu bồi thường thiệt hại của mình hoặc quyền yêu cầu bảo đảm quyền này theo các yêu cầu về hình thức và thời gian áp dụng và sẽ yêu cầu công ty bảo hiểm thực hiện chúng nếu cần. Nếu chủ hợp đồng bảo hiểm cố ý vi phạm nghĩa vụ này thì công ty bảo hiểm không có nghĩa vụ chi trả trong phạm vi không thể yêu cầu bồi thường cho nó từ một bên thứ ba. Trong trường hợp vi phạm do vô ý một cách quá đáng, công ty bảo hiểm có quyền giảm quyền lợi có thể chi trả tương ứng với mức độ lỗi của chủ hợp đồng bảo hiểm; nghĩa vụ chứng minh về việc không có sự vô ý này thuộc chủ hợp đồng bảo hiểm,</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(3) Nếu chủ hợp đồng bảo hiểm yêu cầu bồi thường thông tua một thành viên trong gia đình  khi tổn thất phát sinh, thì việc chuyển nhượng theo tiểu mục (1) không thể thực hiện được, ngoại trừ việc người này cố ý gây ra tổn thất”.</w:t>
      </w:r>
    </w:p>
    <w:p w:rsidR="00FE59EE" w:rsidRPr="008354C2" w:rsidRDefault="00FE59EE" w:rsidP="00927D7B">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1.4.3. Đài Loan</w:t>
      </w:r>
    </w:p>
    <w:p w:rsidR="00FE59EE" w:rsidRPr="008354C2" w:rsidRDefault="00FE59EE"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Điều 53 Luật bảo hiểm Đài Loan quy định về nguyên tắc thế quyền như sau:</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“Nếu một người được bảo hiểm có quyền yêu cầu bồi thường từ bên thứ ba do xảy ra tổn thất mà công ty bảo hiểm chịu trách nhiệm bảo hiểm, thì công ty bảo hiểm có thể, được thế quyền cho người được bảo hiểm yêu cầu chống lại bên thứ ba sau khi bồi thường,. Tuy nhiên, số tiền của yêu cầu thế quyền có thể không vượt quá số tiền bồi thường.</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Nếu bên thứ ba được đề cập trong đoạn trên là thành viên gia đình hoặc nhân viên của người người được bảo hiểm, thì công ty bảo hiểm không có quyền yêu cầu bồi thường bằng cách thế quyền. Tuy nhiên, với điều kiện nguyên tắc này không áp dụng được khi tổn thất xảy ra do vi phạm cố ý của bên thứ ba đó”.</w:t>
      </w:r>
    </w:p>
    <w:p w:rsidR="00FE59EE" w:rsidRPr="008354C2" w:rsidRDefault="00FE59EE" w:rsidP="00FE59EE">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1.4.4. Úc</w:t>
      </w:r>
    </w:p>
    <w:p w:rsidR="00FE59EE" w:rsidRPr="008354C2" w:rsidRDefault="00FE59EE" w:rsidP="00FE59EE">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Phần III Luật bảo hiểm Úc quy định về nguyên tắc thế quyền như sau:</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65 quy định về quyền thế quyền đối với các thành viên hộ gia đình trong bảo hiểm phi nhân thọ</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66 quy định về thế quyền đối với nhân viên</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67 quy định về quyền đối với doanh thu hoạt động thế quyền:</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xml:space="preserve">(1) Nếu số tiền được thu hồi bởi công ty bảo hiểm: </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(a) Công ty bảo hiểm được hưởng số tiền không lớn hơn tổng của: (i) số tiền mà công ty bảo hiểm trả cho người được bảo hiểm đối với tổn thất; và (ii) số tiền mà công ty bảo hiểm thanh toán cho các chi phí hành chính và pháp lý phát sinh liên quan đến việc thu hồi; và</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(b) Nếu số tiền thu hồi vượt quá số tiền mà công ty bảo hiểm được hưởng theo khoản (a) - người được bảo hiểm được hưởng theo điểm này số tiền không vượt quá tổn thất tổng thể của người được bảo hiểm; và</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(c) Nếu số tiền thu hồi vượt quá tổng: (i) số tiền mà công ty bảo hiểm được hưởng theo khoản (a); và (ii) số tiền (nếu có) mà người được bảo hiểm được hưởng theo khoản (b) thì công ty bảo hiểm được hưởng phần vượt quá.</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Nếu số tiền được thu hồi bởi người được bảo hiểm</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(a) Người được bảo hiểm được hưởng số tiền không vượt quá tổng: (i) tổn thất tổng thể của người được bảo hiểm; và (ii) số tiền mà người được bảo hiểm thanh toán cho các chi phí hành chính và pháp lý phát sinh liên quan đến việc thu hồi; và</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(b) Nếu số tiền thu hồi vượt quá số tiền mà người được bảo hiểm có quyền hưởng theo khoản (a) - công ty bảo hiểm được hưởng từ phần vượt quá số tiền không vượt quá số tiền mà công ty bảo hiểm thanh toán cho người được bảo hiểm; và</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(c) Nếu số tiền thu hồi vượt quá tổng: (i) số tiền mà người được bảo hiểm được hưởng theo khoản (a); và (ii) số tiền (nếu có) mà công ty bảo hiểm được hưởng theo khoản (b) thì người được bảo hiểm được hưởng phần vượt quá.</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(3) Nếu số tiền được công ty bảo hiểm và được bảo hiểm phối hợp thu hồi</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(a) Nếu số tiền thu hồi nhỏ hơn tổng số tiền nêu tại khoản (1) (a) và khoản (2) (a), công ty bảo hiểm và người được bảo hiểm đều được hưởng một phần số tiền đã thu hồi, được tính trên cơ sở tỷ lệ tương ứng với số tiền nêu tại khoản (1) (a) và khoản (2) (a).</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(b) Nếu số tiền thu hồi bằng tổng số tiền nêu tại khoản (1) (a) và khoản (2) (a) thì công ty bảo hiểm được hưởng số tiền nêu tại khoản (1) (a); và người được bảo hiểm được hưởng số tiền nêu tại khoản (2) (a).</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(c) Nếu số tiền thu hồi vượt quá tổng số tiền nêu tại khoản (1) (a) và khoản (2) (a), thì (i) công ty bảo hiểm được hưởng số tiền nêu tại khoản (1) (a); và (i) người được bảo hiểm được hưởng số tiền nêu tại khoản (2) (a); và (iii) ngoài số tiền trên, công ty bảo hiểm và người được bảo hiểm được hưởng một phần số tiền còn lại của số tiền thu hồi, tính trên cơ sở tỷ lệ tương ứng với các khoản được quy định tại khoản (1) (a) (ii) và (2) (a) (ii).</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(4) Về số tiền được hưởng lãi</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Nếu số tiền được thu hồi (số tiền gốc) được hưởng lãi (số tiền lãi), những quy định sau được áp dụng:</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(a) nếu số tiền gốc đã được công ty bảo hiểm thu hồi thì công ty bảo hiểm được hưởng số tiền lãi;</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(b) nếu số tiền gốc đã được người được bảo hiểm thu hồi thì người được bảo hiểm được hưởng số tiền lãi;</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(c) nếu số tiền gốc được công ty bảo hiểm và người được bảo hiểm phối hợp thu hồi, số tiền lãi được chia công bằng cho công ty bảo hiểm và người được bảo hiểm, trên cơ sở: (i) số tiền mà công ty bảo hiểm và người được bảo hiểm được hưởng theo từng tiểu mục (3) (a), (b) hoặc (c), tùy trường hợp; và (ii) các khoảng thời gian mà công ty bảo hiểm và người được bảo hiểm đã mất chi phí vốn của họ.</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(5) Quyền của công ty bảo hiểm và người được bảo hiểm theo khoản này đối với tổn thất tùy thuộc vào:</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(a) hợp đồng bảo hiểm có liên quan; và</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(b) bất kỳ thỏa thuận nào giữa công ty bảo hiểm và người được bảo hiểm sau khi xảy ra tổn thất.</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 Điều 68 quy định về hợp đồng ảnh hưởng đến quyền thế quyền</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(1) Trường hợp hợp đồng bảo hiểm phi nhân thọ quy định việc loại trừ hoặc giảm trừ tiền bồi thường của công ty bảo hiểm đối với tổn thất vì người được bảo hiểm là một bên tham gia thỏa thuận loại trừ hoặc giới hạn quyền của người đó khi nhận tiền bồi thường từ người không phải là công ty bảo hiểm, công ty bảo hiểm không được viện dẫn điều khoản này trừ khi đã thông báo rõ ràng về nội dung của điều khoản đó cho người được bảo hiểm bằng văn bản trước khi ký hợp đồng bảo hiểm.</w:t>
      </w:r>
    </w:p>
    <w:p w:rsidR="00FE59EE" w:rsidRPr="008354C2" w:rsidRDefault="00FE59EE" w:rsidP="00FE59EE">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(2) Trách nhiệm khai báo không yêu cầu người được bảo hiểm tiết lộ sự tồn tại của một hợp đồng hạn chế quyền của người được bảo hiểm.”</w:t>
      </w:r>
    </w:p>
    <w:p w:rsidR="00927D7B" w:rsidRPr="008354C2" w:rsidRDefault="00927D7B" w:rsidP="00927D7B">
      <w:pPr>
        <w:spacing w:before="120" w:after="120" w:line="240" w:lineRule="auto"/>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1.5. Nguyên tắc rủi ro ngẫu nhiên</w:t>
      </w:r>
    </w:p>
    <w:p w:rsidR="00927D7B" w:rsidRPr="008354C2" w:rsidRDefault="00927D7B"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Không phải tất cả mọi loại rủi ro đều có thể được bảo hiểm. Những rủi ro có thể được bảo hiểm phải hoàn toàn ngẫu nhiên. Những sự cố chắc chắn sẽ xảy ra sẽ không thể được bảo hiểm do ở đây không hề có yếu tố không chắc chắn về tổn thất và vì vậy việc chuyển giao rủi ro sẽ không thể diễn ra. Những rủi ro chắc chắn xảy ra như những thiệt hại do sự hao mòn, hư hỏng, khấu hao gây ra sẽ bị loại trừ. Bất cứ thiệt hại hoặc tổn thát nào do người được bảo hiểm cố ý gây ra cũng sẽ bị loại trừ. Hành động có ý của người khác mặc nhiên sẽ không bị loại trừ với điều kiện là những hành động đó là hoàn toàn ngẫu nhiên đối với người được bảo hiểm.</w:t>
      </w:r>
    </w:p>
    <w:p w:rsidR="00927D7B" w:rsidRPr="008354C2" w:rsidRDefault="00927D7B"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Đối với bảo hiểm nhân thọ, rủi ro chết dường như vượt ra ngoài nguyên tắc này do sự kiện tử vong là một trong những sự kiện chắc chắn nhất. Tuy nhiên, thời điểm chết lại là ngẫu nhiên và bảo hiểm nhân thọ chủ yếu liên quan tới điều này.</w:t>
      </w:r>
    </w:p>
    <w:p w:rsidR="00927D7B" w:rsidRPr="008354C2" w:rsidRDefault="00927D7B"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Tại luật bảo hiểm của các nước, nguyên tắc rủi ro ngẫu nhiên được quy định cụ thể như sau:</w:t>
      </w:r>
    </w:p>
    <w:p w:rsidR="00927D7B" w:rsidRPr="008354C2" w:rsidRDefault="00927D7B" w:rsidP="00927D7B">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1.5.1. Đài Loan</w:t>
      </w:r>
    </w:p>
    <w:p w:rsidR="00927D7B" w:rsidRPr="008354C2" w:rsidRDefault="00927D7B"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Điều 29 Luật bảo hiểm Đài Loan quy định:</w:t>
      </w:r>
    </w:p>
    <w:p w:rsidR="00927D7B" w:rsidRPr="008354C2" w:rsidRDefault="00927D7B" w:rsidP="00927D7B">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“Doanh nghiệp bảo hiểm có trách nhiệm bồi thường thiệt hại do các sự kiện không lường trước được hoặc sự kiện bất khả kháng. Tuy nhiên, yêu cầu này không áp dụng được khi các hạn chế được nêu rõ trong hợp đồng bảo hiểm.</w:t>
      </w:r>
    </w:p>
    <w:p w:rsidR="00927D7B" w:rsidRPr="008354C2" w:rsidRDefault="00927D7B" w:rsidP="00927D7B">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Doanh nghiệp bảo hiểm có trách nhiệm bồi thường thiệt hại do thiệt hại của chủ hợp đồng bảo hiểm hoặc người được bảo hiểm gây ra. Tuy nhiên, quy tắc này không áp dụng đối với tổn thất do hành vi cố ý của chủ hợp đồng bảo hiểm hoặc người được bảo hiểm gây ra.</w:t>
      </w:r>
    </w:p>
    <w:p w:rsidR="00927D7B" w:rsidRPr="008354C2" w:rsidRDefault="00927D7B" w:rsidP="00927D7B">
      <w:pPr>
        <w:spacing w:before="120" w:after="120"/>
        <w:ind w:firstLine="720"/>
        <w:jc w:val="both"/>
        <w:rPr>
          <w:rFonts w:ascii="Times New Roman" w:hAnsi="Times New Roman" w:cs="Times New Roman"/>
          <w:i/>
          <w:sz w:val="28"/>
          <w:szCs w:val="28"/>
          <w:lang w:val="it-IT"/>
        </w:rPr>
      </w:pPr>
      <w:r w:rsidRPr="008354C2">
        <w:rPr>
          <w:rFonts w:ascii="Times New Roman" w:hAnsi="Times New Roman" w:cs="Times New Roman"/>
          <w:i/>
          <w:sz w:val="28"/>
          <w:szCs w:val="28"/>
          <w:lang w:val="it-IT"/>
        </w:rPr>
        <w:t>Khi xảy ra cái chết của người được bảo hiểm do bất kỳ sự cố bảo hiểm nào, chủ hợp đồng bảo hiểm hoặc người thụ hưởng thông báo cho bên bảo hiểm. Khi nhận được thông báo, công ty bảo hiểm phải liên hệ với người thụ hưởng theo địa chỉ mới nhất hoặc thông qua số liên lạc do chủ hợp đồng bảo hiểm cung cấp cho công ty bảo hiểm”.</w:t>
      </w:r>
    </w:p>
    <w:p w:rsidR="00927D7B" w:rsidRPr="008354C2" w:rsidRDefault="00927D7B" w:rsidP="00927D7B">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1.5.2. Hoa Kỳ</w:t>
      </w:r>
    </w:p>
    <w:p w:rsidR="00927D7B" w:rsidRPr="008354C2" w:rsidRDefault="00927D7B"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Theo quy định tại Điều 11 Luật bảo hiểm Bang New York Hoa Kỳ</w:t>
      </w:r>
      <w:r w:rsidRPr="008354C2">
        <w:rPr>
          <w:rStyle w:val="FootnoteReference"/>
          <w:rFonts w:ascii="Times New Roman" w:hAnsi="Times New Roman" w:cs="Times New Roman"/>
          <w:sz w:val="28"/>
          <w:szCs w:val="28"/>
        </w:rPr>
        <w:footnoteReference w:id="5"/>
      </w:r>
      <w:r w:rsidRPr="008354C2">
        <w:rPr>
          <w:rFonts w:ascii="Times New Roman" w:hAnsi="Times New Roman" w:cs="Times New Roman"/>
          <w:sz w:val="28"/>
          <w:szCs w:val="28"/>
          <w:lang w:val="it-IT"/>
        </w:rPr>
        <w:t>: hợp đồng bảo hiểm là bất kỳ thỏa thuận hoặc giao dịch nào khác, theo đó một bên là công ty bảo hiểm có nghĩa vụ trao quyền lợi có giá trị bằng tiền cho một bên khác là "người được bảo hiểm" hoặc "người thụ hưởng" khi xảy ra sự kiện ngẫu nhiên. Vào thời điểm xảy ra sự kiện đó, người được bảo hiểm hoặc người thụ hưởng có, hoặc dự kiến sẽ có, một quyền lợi vật chất bị ảnh hưởng bất lợi do sự kiện ngẫu nhiên đó xảy ra. "Sự kiện ngẫu nhiên" có nghĩa là bất kỳ sự cố nào xảy ra hoặc không xảy ra, hoặc được các bên cho là có thể xảy ra, ở một mức độ đáng kể nằm ngoài tầm kiểm soát của một trong hai bên.</w:t>
      </w:r>
    </w:p>
    <w:p w:rsidR="00927D7B" w:rsidRPr="008354C2" w:rsidRDefault="00927D7B" w:rsidP="00927D7B">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1.6. Nguyên nhân trực tiếp</w:t>
      </w:r>
    </w:p>
    <w:p w:rsidR="00927D7B" w:rsidRPr="008354C2" w:rsidRDefault="00927D7B"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Một hợp đồng bảo hiểm cần phải định nghĩa một cách chính xác những rủi ro được bảo hiểm. Điều này chỉ rõ ý định của các bên về những nguyên nhân tổn thất nào bị loại trừ hoặc những hậu quả nhất định do một hiểm họa được bảo hiểm gây ra sẽ bị loại trừ. Tất cả các hợp đồng bảo hiểm đều phải tuân theo một số điều kiện do không phải tất cả rủi ro đều được bảo hiểm. Việc xác định rủi ro được bảo hiểm là một vấn đề không đơn giản, cần phải trả lời câu hỏi các rủi ro xảy ra này khởi đầu từ đâu và kết thúc khi nào.</w:t>
      </w:r>
    </w:p>
    <w:p w:rsidR="00927D7B" w:rsidRPr="008354C2" w:rsidRDefault="00927D7B"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Nguyên tắc nguyên nhân trực tiếp (Causa Proxima - một cụm từ tiếng Latinh), có nghĩa là khi tổn thất do nhiều nguyên nhân gây ra, thì nguyên nhân trực tiếp hoặc gần nhất phải được xem xét để quyết định trách nhiệm của người bảo hiểm. Nguyên tắc nêu rõ rằng để biết người bảo hiểm có phải chịu trách nhiệm về tổn thất hay không, phải xem xét nguyên nhân trực tiếp chứ không phải nguyên nhân gián tiếp. Nguyên nhân trực tiếp không nhất thiết phải là nguyên nhân đầu tiên hay cuối cùng mà nó là nguyên nhân chi phối hoặc nguyên nhân chủ động. Nghĩa là có mối liên hệ trực tiếp giữa nguyên nhân và kết quả. Điều này cũng có nghĩa nguyên nhân này mạnh đến n</w:t>
      </w:r>
      <w:r w:rsidR="00E33915" w:rsidRPr="008354C2">
        <w:rPr>
          <w:rFonts w:ascii="Times New Roman" w:hAnsi="Times New Roman" w:cs="Times New Roman"/>
          <w:sz w:val="28"/>
          <w:szCs w:val="28"/>
          <w:lang w:val="it-IT"/>
        </w:rPr>
        <w:t>ỗ</w:t>
      </w:r>
      <w:r w:rsidRPr="008354C2">
        <w:rPr>
          <w:rFonts w:ascii="Times New Roman" w:hAnsi="Times New Roman" w:cs="Times New Roman"/>
          <w:sz w:val="28"/>
          <w:szCs w:val="28"/>
          <w:lang w:val="it-IT"/>
        </w:rPr>
        <w:t xml:space="preserve">i ở mỗi giai đoạn trong cả chuỗi các sự cố, ta có thể dự đoán một cách logic các sự kiện tiếp theo trong chuỗi sự kiện. Điều này xảy ra trong suốt quá trình cho đến khi hậu quả dự đoán xảy ra. </w:t>
      </w:r>
    </w:p>
    <w:p w:rsidR="00927D7B" w:rsidRPr="008354C2" w:rsidRDefault="00927D7B" w:rsidP="00927D7B">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Việc thiệt hại tài sản được bảo hiểm có thể do nhiều sự cố xảy ra liên tiếp nhau. Tài sản có thể được bảo hiểm đối với một số nguyên nhân nhưng không phải tất cả các nguyên nhân gây thiệt hại. Khi tài sản không được bảo hiểm trước mọi nguyên nhân, thì phải tìm ra nguyên nhân trực tiếp. Nếu nguyên nhân trực tiếp là nguyên nhân mà tài sản được bảo hiểm thì doanh nghiệp bảo hiểm phải bồi thường. Nếu đó không phải là nguyên nhân mà tài sản được bảo hiểm, thì doanh nghiệp bảo hiểm không phải trả tiền.</w:t>
      </w:r>
    </w:p>
    <w:p w:rsidR="00927D7B" w:rsidRPr="008354C2" w:rsidRDefault="00927D7B" w:rsidP="00E33915">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Tuy nhiên, trong trường hợp bảo hiểm nhân thọ, nguyên tắc nguyên nhân trực tiếp không được áp dụng. Bất kể lý do tử vong có thể là gì (dù là chết tự nhiên hay chết không tự nhiên) thì doanh nghiệp bảo hiểm có trách nhiệm trả số tiền bảo hiểm. Nguyên tắc này được quy định cụ thể ở luật bảo hiểm các nước như sau:</w:t>
      </w:r>
    </w:p>
    <w:p w:rsidR="00927D7B" w:rsidRPr="008354C2" w:rsidRDefault="00927D7B" w:rsidP="00E33915">
      <w:pPr>
        <w:spacing w:before="120" w:after="120"/>
        <w:jc w:val="both"/>
        <w:rPr>
          <w:rFonts w:ascii="Times New Roman" w:hAnsi="Times New Roman" w:cs="Times New Roman"/>
          <w:b/>
          <w:sz w:val="28"/>
          <w:szCs w:val="28"/>
          <w:lang w:val="it-IT"/>
        </w:rPr>
      </w:pPr>
      <w:r w:rsidRPr="008354C2">
        <w:rPr>
          <w:rFonts w:ascii="Times New Roman" w:hAnsi="Times New Roman" w:cs="Times New Roman"/>
          <w:b/>
          <w:sz w:val="28"/>
          <w:szCs w:val="28"/>
          <w:lang w:val="it-IT"/>
        </w:rPr>
        <w:t>1.6.1. Anh</w:t>
      </w:r>
    </w:p>
    <w:p w:rsidR="00927D7B" w:rsidRPr="008354C2" w:rsidRDefault="00927D7B" w:rsidP="00E33915">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Theo luật của Vương quốc Anh, quan hệ nhân quả là một cuộc điều tra thực tế đơn giản. Nguyên nhân mất mát/hư hỏng phải là nguyên nhân trực tiếp, tức là “hiệu quả”, “chi phối” hoặc “tác dụng”.</w:t>
      </w:r>
    </w:p>
    <w:p w:rsidR="00927D7B" w:rsidRPr="008354C2" w:rsidRDefault="00927D7B" w:rsidP="00E33915">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Tuy nhiên, phải phân biệt giữa:</w:t>
      </w:r>
    </w:p>
    <w:p w:rsidR="00927D7B" w:rsidRPr="008354C2" w:rsidRDefault="00927D7B" w:rsidP="00E33915">
      <w:pPr>
        <w:spacing w:before="120" w:after="1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xml:space="preserve">- Trường hợp có nhiều nguyên nhân: Mục 55 (1) của Đạo luật Bảo hiểm hàng hải 1906 quy định </w:t>
      </w:r>
      <w:r w:rsidRPr="008354C2">
        <w:rPr>
          <w:rFonts w:ascii="Times New Roman" w:hAnsi="Times New Roman" w:cs="Times New Roman"/>
          <w:i/>
          <w:sz w:val="28"/>
          <w:szCs w:val="28"/>
          <w:lang w:val="it-IT"/>
        </w:rPr>
        <w:t>“các công ty bảo hiểm không chịu trách nhiệm đối với bất kỳ tổn thất nào không liên quan đến rủi ro được bảo hiểm”.</w:t>
      </w:r>
    </w:p>
    <w:p w:rsidR="00927D7B" w:rsidRPr="008354C2" w:rsidRDefault="00927D7B" w:rsidP="00E33915">
      <w:pPr>
        <w:spacing w:before="120" w:after="120"/>
        <w:ind w:firstLine="720"/>
        <w:jc w:val="both"/>
        <w:rPr>
          <w:rFonts w:ascii="Times New Roman" w:hAnsi="Times New Roman" w:cs="Times New Roman"/>
          <w:sz w:val="28"/>
          <w:szCs w:val="28"/>
          <w:lang w:val="it-IT"/>
        </w:rPr>
      </w:pPr>
      <w:r w:rsidRPr="008354C2">
        <w:rPr>
          <w:rFonts w:ascii="Times New Roman" w:hAnsi="Times New Roman" w:cs="Times New Roman"/>
          <w:sz w:val="28"/>
          <w:szCs w:val="28"/>
          <w:lang w:val="it-IT"/>
        </w:rPr>
        <w:t>+ Hai nguyên nhân trực tiếp phụ thuộc lẫn nhau đồng thời gây ra tổn thất, một trong số đó là rủi ro được bảo hiểm, và còn lại là rủi ro không được bảo hiểm thì sẽ được bảo hiểm: Án lệ Cô Jay Jay năm 1987 (không thể đi biển được (không được bảo hiểm) và rủi ro đi biển (được bảo hiểm)).</w:t>
      </w:r>
    </w:p>
    <w:p w:rsidR="00927D7B" w:rsidRPr="008354C2" w:rsidRDefault="00927D7B" w:rsidP="00E33915">
      <w:pPr>
        <w:spacing w:before="120" w:after="120"/>
        <w:ind w:firstLine="720"/>
        <w:jc w:val="both"/>
        <w:rPr>
          <w:rFonts w:ascii="Times New Roman" w:hAnsi="Times New Roman" w:cs="Times New Roman"/>
          <w:sz w:val="28"/>
          <w:szCs w:val="28"/>
        </w:rPr>
      </w:pPr>
      <w:r w:rsidRPr="008354C2">
        <w:rPr>
          <w:rFonts w:ascii="Times New Roman" w:hAnsi="Times New Roman" w:cs="Times New Roman"/>
          <w:sz w:val="28"/>
          <w:szCs w:val="28"/>
          <w:lang w:val="it-IT"/>
        </w:rPr>
        <w:t xml:space="preserve">+ Hai nguyên nhân trực tiếp phụ thuộc lẫn nhau đồng thời gây ra tổn thất, một trong số đó bị loại trừ bảo hiểm rõ ràng, sẽ không được bảo hiểm: Án lệ Wayne Tank năm 1974 (sơ suất (được bảo hiểm) và lỗi thiết kế (bị loại trừ bảo hiểm)). </w:t>
      </w:r>
      <w:r w:rsidRPr="008354C2">
        <w:rPr>
          <w:rFonts w:ascii="Times New Roman" w:hAnsi="Times New Roman" w:cs="Times New Roman"/>
          <w:sz w:val="28"/>
          <w:szCs w:val="28"/>
        </w:rPr>
        <w:t>Xem thêm Án lệ Midland Mainline và Eagle Star năm 2004.</w:t>
      </w:r>
    </w:p>
    <w:p w:rsidR="00927D7B" w:rsidRPr="008354C2" w:rsidRDefault="00927D7B"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Và trường hợp các nguyên nhân độc lập và liên tiếp:</w:t>
      </w:r>
    </w:p>
    <w:p w:rsidR="00927D7B" w:rsidRPr="008354C2" w:rsidRDefault="00927D7B" w:rsidP="00E33915">
      <w:pPr>
        <w:spacing w:before="120" w:after="120"/>
        <w:ind w:firstLine="720"/>
        <w:jc w:val="both"/>
        <w:rPr>
          <w:rFonts w:ascii="Times New Roman" w:hAnsi="Times New Roman" w:cs="Times New Roman"/>
          <w:sz w:val="28"/>
          <w:szCs w:val="28"/>
        </w:rPr>
      </w:pPr>
      <w:r w:rsidRPr="008354C2">
        <w:rPr>
          <w:rFonts w:ascii="Times New Roman" w:hAnsi="Times New Roman" w:cs="Times New Roman"/>
          <w:sz w:val="28"/>
          <w:szCs w:val="28"/>
        </w:rPr>
        <w:t>+ Hai nguyên nhân tổn thất trực tiếp độc lập đồng thời, một trong số đó là rủi ro được bảo hiểm và một nguyên nhân không được bảo hiểm thì sẽ không được bảo hiểm: Án lệ Orient-Express Hotels năm 2010.</w:t>
      </w:r>
    </w:p>
    <w:p w:rsidR="00927D7B" w:rsidRPr="008354C2" w:rsidRDefault="00927D7B" w:rsidP="00E33915">
      <w:pPr>
        <w:spacing w:before="120" w:after="120"/>
        <w:ind w:firstLine="720"/>
        <w:jc w:val="both"/>
        <w:rPr>
          <w:rFonts w:ascii="Times New Roman" w:hAnsi="Times New Roman" w:cs="Times New Roman"/>
          <w:sz w:val="28"/>
          <w:szCs w:val="28"/>
        </w:rPr>
      </w:pPr>
      <w:r w:rsidRPr="008354C2">
        <w:rPr>
          <w:rFonts w:ascii="Times New Roman" w:hAnsi="Times New Roman" w:cs="Times New Roman"/>
          <w:sz w:val="28"/>
          <w:szCs w:val="28"/>
        </w:rPr>
        <w:t>+ Nguyên nhân liên tiếp: nhìn chung nguyên nhân thứ nhất xảy ra tất yếu phải dẫn đến nguyên nhân thứ hai. Nếu một nguyên nhân bị loại trừ gây ra rủi ro được bảo hiểm và điều này dẫn đến tổn thất, thì nguyên nhân trực tiếp là loại trừ và sẽ không được bồi thường (Án lệ Samuel kiện Dumas năm 1924). Tuy nhiên, nếu một rủi ro được bảo hiểm do một nguyên nhân tổn thất dẫn đến rủi ro bị loại trừ thì nguyên nhân trực tiếp đó là rủi ro được bảo hiểm và được bồi thường bảo hiểm (Án lệ Mardorf và Công ty bảo hiểm tai nạn năm 1903).</w:t>
      </w:r>
    </w:p>
    <w:p w:rsidR="00927D7B" w:rsidRPr="008354C2" w:rsidRDefault="00927D7B" w:rsidP="00E33915">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xml:space="preserve">Trái ngược với cách tiếp cận của Anh, cách tiếp cận của Bắc Âu, khoản 2-13, Chương 2, Kế hoạch bảo hiểm hàng hải Bắc Âu năm 2013, nêu rõ </w:t>
      </w:r>
      <w:r w:rsidRPr="008354C2">
        <w:rPr>
          <w:rFonts w:ascii="Times New Roman" w:hAnsi="Times New Roman" w:cs="Times New Roman"/>
          <w:i/>
          <w:sz w:val="28"/>
          <w:szCs w:val="28"/>
        </w:rPr>
        <w:t>"Nếu tổn thất bị gây ra bởi sự kết hợp của các nguy cơ khác nhau và một hoặc nhiều nguy cơ này không được bảo hiểm của bảo hiểm thì tổn thất sẽ được phân bổ cho từng rủi ro riêng lẻ tùy theo ảnh hưởng của từng rủi ro theo các giả định đối với sự xuất hiện và mức độ tổn thất, và doanh nghiệp bảo hiểm chỉ chịu trách nhiệm đối với phần tổn thất do các rủi ro được bảo hiểm chi trả”.</w:t>
      </w:r>
    </w:p>
    <w:p w:rsidR="00927D7B" w:rsidRPr="008354C2" w:rsidRDefault="00927D7B"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1.6.2. Scotland</w:t>
      </w:r>
    </w:p>
    <w:p w:rsidR="00927D7B" w:rsidRPr="008354C2" w:rsidRDefault="00927D7B"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Theo</w:t>
      </w:r>
      <w:r w:rsidRPr="008354C2">
        <w:t xml:space="preserve"> </w:t>
      </w:r>
      <w:r w:rsidRPr="008354C2">
        <w:rPr>
          <w:rFonts w:ascii="Times New Roman" w:hAnsi="Times New Roman" w:cs="Times New Roman"/>
          <w:sz w:val="28"/>
          <w:szCs w:val="28"/>
        </w:rPr>
        <w:t xml:space="preserve">Luật Bảo hiểm Nhân thọ năm 1774 của Scotland: </w:t>
      </w:r>
      <w:r w:rsidRPr="008354C2">
        <w:rPr>
          <w:rFonts w:ascii="Times New Roman" w:hAnsi="Times New Roman" w:cs="Times New Roman"/>
          <w:i/>
          <w:sz w:val="28"/>
          <w:szCs w:val="28"/>
        </w:rPr>
        <w:t>“Trường hợp được bảo hiểm là trường hợp sự kiện bảo hiểm xảy ra do nguyên nhân trực tiếp, liên quan đến sự mất mát hoặc giảm thiểu bất kỳ quyền lợi nào được pháp luật công nhận hoặc trong bất kỳ trách nhiệm pháp lý nào là quyền lợi có thể được bảo hiểm”.</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1.7. Nguyên tắc đóng góp</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Nguyên tắc đóng góp là hệ quả của nguyên tắc bồi thường. Nó áp dụng cho tất cả các hợp đồng được bồi thường, nếu người được bảo hiểm có nhiều hợp đồng bảo hiểm đối với cùng một đối tượng bảo hiểm.</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Theo nguyên tắc này, người được bảo hiểm chỉ có thể yêu cầu bồi thường trong phạm vi tổn thất thực tế từ tất cả các công ty bảo hiểm hoặc từ bất kỳ một công ty bảo hiểm nào. Nếu một công ty bảo hiểm đã bồi thường toàn bộ cho người người được bảo hiểm thì công ty bảo hiểm đó có thể yêu cầu các doanh nghiệp khác chi trả lại cho mình theo tỷ lệ.</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Nguyên tắc này cũng sẽ không áp dụng cho bảo hiểm nhân thọ vì trong trường hợp hợp đồng bị kích hoạt, doanh nghiệp bảo hiểm phải thanh toán toàn bộ. Ngoài ra, trong trường hợp tử vong, nếu người được bảo hiểm có nhiều hợp đồng bảo hiểm nhân thọ, các doanh nghiệp bảo hiểm đều phải thanh toán toàn bộ số tiền cho người được chỉ định.</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Trên bình diện quốc tế, vì nguyên tắc đóng góp là hệ quả của việc bồi thường, nên những thay đổi nhỏ trong việc áp dụng hoặc hiểu nguyên tắc này rất phổ biến. Nguyên tắc này được quy định cụ thể ở luật bảo hiểm các nước như sau:</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1.7.1. Singapore</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xml:space="preserve">Ở Singapore, nguyên tắc đóng góp được đưa ra xuất phát từ yêu cầu ngăn chặn việc làm giàu bất chính. Tuy nhiên, trong khi nguyên tắc thế quyền được thực hiện đối với bên thứ ba, thì nguyên tắc đóng góp liên quan đến các công ty bảo hiểm trong bối cảnh bảo hiểm trùng. Để đạt được điều này, khi cùng một người được bảo hiểm về cùng một rủi ro bởi nhiều công ty bảo hiểm, quy định rằng tổn thất sẽ do tất cả các công ty bảo hiểm cùng chịu. </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1.7.2. Trung Quốc</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Tại Trung Quốc, Điều 56 Luật Bảo hiểm quy định rằng trong trường hợp bảo hiểm trùng, chủ hợp đồng phải thông báo cho tất cả các công ty bảo hiểm liên quan về thông tin việc bảo hiểm trùng đó:</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“Đối với bảo hiểm trùng, tổng số tiền bồi thường của tất cả các doanh nghiệp bảo hiểm liên quan không được vượt quá giá trị bảo hiểm. Trừ khi có quy định khác trong hợp đồng, các doanh nghiệp bảo hiểm có liên quan phải thực hiện các nghĩa vụ bồi thường tương ứng của mình theo tỷ lệ số tiền bảo hiểm của từng người trên tổng số tiền bảo hiểm.</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Chủ hợp đồng bảo hiểm trùng có thể yêu cầu công ty bảo hiểm hoàn trả theo tỷ lệ phí bảo hiểm cho phần tổng số tiền được bảo hiểm vượt quá giá trị có thể bảo hiểm.</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Bảo hiểm trùng là việc chủ hợp đồng ký kết các hợp đồng bảo hiểm riêng biệt với hai hoặc nhiều doanh nghiệp bảo hiểm cho cùng một đối tượng được bảo hiểm, cùng quyền lợi được bảo hiểm và cùng một sự kiện được bảo hiểm và tổng số tiền bảo hiểm vượt quá giá trị bảo hiểm”.</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1.7.3. Anh</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Ở Anh, nguyên tắc đóng góp được hiểu là nếu có hai hợp đồng bảo hiểm cho cùng một người, cùng một đối tượng và cùng một quyền lợi, thì người được bảo hiểm hoàn toàn có thể tự do yêu cầu công ty bảo hiểm theo tỷ lệ và số tiền mà họ cho là phù hợp, nhưng chỉ lên đến toàn bộ số tiền tổn thất của mình. Nếu một công ty bảo hiểm đã trả một phần tổn thất không tương xứng, thì công ty bảo hiểm có quyền tìm kiếm sự đóng góp của bên kia để cuối cùng mỗi bên tự trả phần của mình. Mục đích của các nguyên tắc này là đảm bảo rủi ro được bảo hiểm khi một hoặc nhiều công ty bảo hiểm mất khả năng thanh toán, bên mua bảo hiểm có thể kiện các công ty bảo hiểm này và để doanh nghiệp bảo hiểm kia lấy lại những gì có thể từ những công ty bảo hiểm mất khả năng thanh toán.</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1.7.4. Đức</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Ở Đức, nguyên tắc này được dịch là “bảo hiểm trùng” và được quy định tại Điều 78 của Luật Bảo hiểm Đức (VVG):</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“1. Nếu quyền lợi được bảo hiểm cho cùng một rủi ro với nhiều doanh nghiệp bảo hiểm và số tiền bảo hiểm vượt quá giá trị có thể bảo hiểm hoặc vì lý do khác mà doanh nghiệp bảo hiểm sẽ phải trả số tiền bồi thường thiệt hại nếu doanh nghiệp bảo hiểm khác không trả vượt quá tổng số tổn thất (bảo hiểm trùng), các doanh nghiệp bảo hiểm có trách nhiệm liên đới trả số tiền bảo hiểm của mình theo cách thức mà mỗi doanh nghiệp bảo hiểm theo hợp đồng bảo hiểm của mình, nhưng bên mua bảo hiểm không được đòi nhiều hơn tổng số tiền tổn thất.</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2. Đối với doanh nghiệp bảo hiểm bảo hiểm, doanh nghiệp bảo hiểm có trách nhiệm thanh toán tương ứng với số tiền mà họ phải chịu theo từng hợp đồng tương ứng. Nếu luật nước ngoài được áp dụng đối với một trong các bảo hiểm thì doanh nghiệp bảo hiểm được áp dụng luật nước ngoài chỉ có thể yêu cầu bồi thường đối với doanh nghiệp bảo hiểm kia nếu bản thân doanh nghiệp đó có trách nhiệm bồi thường theo quy định của pháp luật có liên quan.</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3. Nếu bên mua bảo hiểm đã mua bảo hiểm trùng với ý định thu lợi bất hợp pháp, thì mỗi hợp đồng được thực hiện với ý định đó sẽ vô hiệu; doanh nghiệp bảo hiểm sẽ được hưởng phí bảo hiểm cho đến thời điểm doanh nghiệp bảo hiểm biết được các trường hợp gây ra sự vô hiệu”.</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 Quy định về giao kết, thực hiện hợp đồng bảo hiểm</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 xml:space="preserve">2.1. Quy định về hợp đồng bảo hiểm vô hiệu </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bảo hiểm các nước quy định về hợp đồng bảo hiểm vô hiệu chủ yếu liên quan đến việc không có quyền lợi có thể được bảo hiểm hoặc có sự gian dối trong quá trình giao kết hợp đồng bảo hiểm, cụ thể như sau:</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2.1.1. Trung Quốc</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Bảo hiểm Trung Quốc có quy định về hợp đồng bảo hiểm vô hiệu được nằm rải rác ở các điều trong Chương về hợp đồng bảo hiểm con người như sau:</w:t>
      </w:r>
    </w:p>
    <w:p w:rsidR="00E33915" w:rsidRPr="008354C2" w:rsidRDefault="00E33915" w:rsidP="00E33915">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xml:space="preserve">- Điều 31: </w:t>
      </w:r>
      <w:r w:rsidRPr="008354C2">
        <w:rPr>
          <w:rFonts w:ascii="Times New Roman" w:hAnsi="Times New Roman" w:cs="Times New Roman"/>
          <w:i/>
          <w:sz w:val="28"/>
          <w:szCs w:val="28"/>
        </w:rPr>
        <w:t>“Trường hợp chủ hợp đồng bảo hiểm ký hợp đồng bảo hiểm mà không có quyền lợi bảo hiểm đối với người được bảo hiểm thì hợp đồng đó sẽ bị vô hiệu”.</w:t>
      </w:r>
    </w:p>
    <w:p w:rsidR="00E33915" w:rsidRPr="008354C2" w:rsidRDefault="00E33915" w:rsidP="00E33915">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34: “</w:t>
      </w:r>
      <w:r w:rsidRPr="008354C2">
        <w:rPr>
          <w:rFonts w:ascii="Times New Roman" w:hAnsi="Times New Roman" w:cs="Times New Roman"/>
          <w:i/>
          <w:sz w:val="28"/>
          <w:szCs w:val="28"/>
        </w:rPr>
        <w:t>Trường hợp hợp đồng bảo hiểm coi cái chết là điều kiện để được hưởng quyền lợi bảo hiểm, và người được bảo hiểm không đồng ý và không công nhận số tiền được bảo hiểm thì hợp đồng sẽ bị vô hiệu”.</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2.1.2. Đức</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Tại Đức, lý do hợp đồng bảo hiểm vô hiệu là do lừa dối. Hậu quả pháp lý liên quan đến việc phí bảo hiểm của hợp đồng trở nên vô hiệu là phí bảo hiểm phải trả cho đến khi hợp đồng vô hiệu. Các quy định cụ thể như sau:</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Điều 74. Bảo hiểm trên giá trị</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bên mua bảo hiểm giao kết hợp đồng với ý định thu lợi bất hợp pháp bằng tiền do bảo hiểm trên giá trị, hợp đồng sẽ vô hiệu; doanh nghiệp bảo hiểm sẽ được hưởng phí bảo hiểm cho đến thời điểm doanh nghiệp biết được các sự kiến dẫn đến sự vô hiệu.</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Điều 78. Trách nhiệm pháp lý trong trường hợp bảo hiểm trùng</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bên mua bảo hiểm đã mua nhiều hợp đồng bảo hiểm với ý định thu lợi bất hợp pháp bằng tiền, thì mỗi hợp đồng được thực hiện với ý định đó sẽ vô hiệu; doanh nghiệp bảo hiểm sẽ được hưởng phí bảo hiểm cho đến thời điểm doanh nghiệp biết được các sự kiến dẫn đến sự vô hiệu.</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Mục 80 Thiếu quyền lợi có thể được bảo hiểm</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bên mua bảo hiểm đã bảo hiểm một quyền lợi bảo hiểm không tồn tại với ý định thu lợi bất hợp pháp bằng tiền, thì hợp đồng sẽ vô hiệu; doanh nghiệp bảo hiểm sẽ được hưởng khoản phí bảo hiểm đã trả cho đến thời điểm khi anh ta biết được các các sự kiến dẫn đến sự vô hiệu.”</w:t>
      </w:r>
    </w:p>
    <w:p w:rsidR="00E33915" w:rsidRPr="008354C2" w:rsidRDefault="00E33915" w:rsidP="00E3391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2.1.3. Pháp</w:t>
      </w:r>
    </w:p>
    <w:p w:rsidR="00E33915" w:rsidRPr="008354C2" w:rsidRDefault="00E33915" w:rsidP="00E3391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Ở Pháp, nghĩa vụ thanh toán phí bảo hiểm của hợp đồng vô hiệu là vấn đề chứng minh sự gian dối khi giao kết hợp đồng bảo hiểm. Luật bảo hiểm Pháp có các quy định như sau:</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7E13B5" w:rsidRPr="008354C2">
        <w:rPr>
          <w:rFonts w:ascii="Times New Roman" w:hAnsi="Times New Roman" w:cs="Times New Roman"/>
          <w:i/>
          <w:sz w:val="28"/>
          <w:szCs w:val="28"/>
        </w:rPr>
        <w:t xml:space="preserve">- </w:t>
      </w:r>
      <w:r w:rsidRPr="008354C2">
        <w:rPr>
          <w:rFonts w:ascii="Times New Roman" w:hAnsi="Times New Roman" w:cs="Times New Roman"/>
          <w:i/>
          <w:sz w:val="28"/>
          <w:szCs w:val="28"/>
        </w:rPr>
        <w:t>Điều L113-8</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Ngoài các nguyên nhân thông thường dẫn đến vô hiệu và tuân theo các quy định của Điều L132-26, hợp đồng bảo hiểm sẽ vô hiệu trong trường hợp miễn cưỡng hoặc cố ý thông báo sai của người được bảo hiểm, khi sự thiếu sót hoặc khai báo sai lệch đó làm thay đổi chủ thể của rủi ro hoặc làm giảm đánh giá của doanh nghiệp bảo hiểm về rủi ro, ngay cả khi rủi ro mà người được bảo hiểm che giấu hoặc bóp méo không ảnh hưởng đến tổn thất. Sau đó, công ty bảo hiểm sẽ được hưởng các khoản phí bảo hiểm đã đóng. Bên mua bảo hiểm sẽ phải thanh toán tất cả các khoản phí bảo hiểm đến hạn bằng cách bồi thường thiệt hại.</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Các quy định tại khoản thứ hai của Điều này sẽ không áp dụng cho bảo hiểm nhân thọ.</w:t>
      </w:r>
    </w:p>
    <w:p w:rsidR="00E33915" w:rsidRPr="008354C2" w:rsidRDefault="007E13B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xml:space="preserve">- </w:t>
      </w:r>
      <w:r w:rsidR="00E33915" w:rsidRPr="008354C2">
        <w:rPr>
          <w:rFonts w:ascii="Times New Roman" w:hAnsi="Times New Roman" w:cs="Times New Roman"/>
          <w:i/>
          <w:sz w:val="28"/>
          <w:szCs w:val="28"/>
        </w:rPr>
        <w:t>Điều L113-9</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Nếu doanh nghiệp bảo hiểm không chứng minh được người được bảo hiểm không trung thực, việc bỏ sót hoặc khai báo sai của người được bảo hiểm sẽ không dẫn đến việc bảo hiểm vô hiệu. Nếu việc này được ghi nhận trước khi xảy ra tổn thất, công ty bảo hiểm có quyền tiếp tục hợp đồng với việc tăng phí bảo hiểm mà người được bảo hiểm chấp nhận hoặc chấm dứt hợp đồng sau mười ngày kể từ ngày thông báo cho người được bảo hiểm bằng văn bản và trả lại phần phí bảo hiểm đã trả cho khoảng thời gian không được bảo hiểm. Trong trường hợp việc này chỉ diễn ra sau khi xảy ra tổn thất, thì khoản bồi thường sẽ được giảm tương ứng với tỷ lệ phí bảo hiểm đã trả so với tỷ lệ phí bảo hiểm nợ nếu rủi ro đã được khai báo trung thực và đầy đủ”.</w:t>
      </w:r>
    </w:p>
    <w:p w:rsidR="00E33915" w:rsidRPr="008354C2" w:rsidRDefault="00E33915" w:rsidP="007E13B5">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2.1.4. Úc</w:t>
      </w:r>
    </w:p>
    <w:p w:rsidR="00E33915" w:rsidRPr="008354C2" w:rsidRDefault="00E33915" w:rsidP="00D7089D">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Tại Úc, nếu cố tình không khai báo thông tin hoặc kê khai sai thì công ty bảo hiểm có thể tuyên hợp đồng vô hiệu (Điều 29 Luật Bảo hiểm Úc). Sau đó, Điều 63 quy định về việc huỷ hợp đồng bảo hiểm vô hiệu:</w:t>
      </w:r>
    </w:p>
    <w:p w:rsidR="00E33915" w:rsidRPr="008354C2" w:rsidRDefault="00D7089D"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E33915" w:rsidRPr="008354C2">
        <w:rPr>
          <w:rFonts w:ascii="Times New Roman" w:hAnsi="Times New Roman" w:cs="Times New Roman"/>
          <w:i/>
          <w:sz w:val="28"/>
          <w:szCs w:val="28"/>
        </w:rPr>
        <w:t>(1) Ngoại trừ theo quy định của Luật này, công ty bảo hiểm không được hủy hợp đồng bảo hiểm nói chung.</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Ngoại trừ theo quy định của Luật này hoặc Điều 210 của Luật Bảo hiểm Nhân thọ 1995, công ty bảo hiểm không được hủy hợp đồng bảo hiểm nhân thọ.</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Lưu ý: Điều 210 của Luật Bảo hiểm Nhân thọ 1995 đề nghị hủy hợp đồng bảo hiểm nhân thọ vì không thanh toán phí bảo hiểm.</w:t>
      </w:r>
    </w:p>
    <w:p w:rsidR="00E33915" w:rsidRPr="008354C2" w:rsidRDefault="00E33915"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Bất kỳ việc cố ý hủy hợp đồng bảo hiểm nào trái quy định của tiểu mục (1) hoặc (2) đều không có hiệu lực.</w:t>
      </w:r>
      <w:r w:rsidR="00D7089D" w:rsidRPr="008354C2">
        <w:rPr>
          <w:rFonts w:ascii="Times New Roman" w:hAnsi="Times New Roman" w:cs="Times New Roman"/>
          <w:i/>
          <w:sz w:val="28"/>
          <w:szCs w:val="28"/>
        </w:rPr>
        <w:t>”</w:t>
      </w:r>
    </w:p>
    <w:p w:rsidR="00E33915" w:rsidRPr="008354C2" w:rsidRDefault="00E33915" w:rsidP="00D7089D">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2.1.5. Đài Loan</w:t>
      </w:r>
    </w:p>
    <w:p w:rsidR="00E33915" w:rsidRPr="008354C2" w:rsidRDefault="00E33915" w:rsidP="00D7089D">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Bảo hiểm Đài Loan có quy định về hợp đồng bảo hểm vô hiệu được nằm rải rác ở các điều như sau:</w:t>
      </w:r>
    </w:p>
    <w:p w:rsidR="00E33915" w:rsidRPr="008354C2" w:rsidRDefault="00E33915" w:rsidP="00102281">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xml:space="preserve">- Điều 17 Luật Bảo hiểm Đài Loan: </w:t>
      </w:r>
      <w:r w:rsidRPr="008354C2">
        <w:rPr>
          <w:rFonts w:ascii="Times New Roman" w:hAnsi="Times New Roman" w:cs="Times New Roman"/>
          <w:i/>
          <w:sz w:val="28"/>
          <w:szCs w:val="28"/>
        </w:rPr>
        <w:t>“Nếu chủ hợp đồng bảo hiểm hoặc người được bảo hiểm không có quyền lợi bảo hiểm đối với đối tượng được bảo hiểm thì hợp đồng bảo hiểm sẽ bị vô hiệu”.</w:t>
      </w:r>
    </w:p>
    <w:p w:rsidR="00E33915" w:rsidRPr="008354C2" w:rsidRDefault="00E33915" w:rsidP="00102281">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23</w:t>
      </w:r>
      <w:r w:rsidR="00D7089D" w:rsidRPr="008354C2">
        <w:rPr>
          <w:rFonts w:ascii="Times New Roman" w:hAnsi="Times New Roman" w:cs="Times New Roman"/>
          <w:i/>
          <w:sz w:val="28"/>
          <w:szCs w:val="28"/>
        </w:rPr>
        <w:t>:“</w:t>
      </w:r>
      <w:r w:rsidRPr="008354C2">
        <w:rPr>
          <w:rFonts w:ascii="Times New Roman" w:hAnsi="Times New Roman" w:cs="Times New Roman"/>
          <w:i/>
          <w:sz w:val="28"/>
          <w:szCs w:val="28"/>
        </w:rPr>
        <w:t>Nếu hợp đồng bảo hiểm bị vô hiệu do các trường hợp quy định tại Điều 37, doanh nghiệp bảo hiểm có thể vẫn thu phí bảo hiểm trong thời gian mà công ty bảo hiểm không biết rằng hợp đồng đã bị vô hiệu.</w:t>
      </w:r>
      <w:r w:rsidR="00D7089D" w:rsidRPr="008354C2">
        <w:rPr>
          <w:rFonts w:ascii="Times New Roman" w:hAnsi="Times New Roman" w:cs="Times New Roman"/>
          <w:i/>
          <w:sz w:val="28"/>
          <w:szCs w:val="28"/>
        </w:rPr>
        <w:t>”</w:t>
      </w:r>
    </w:p>
    <w:p w:rsidR="00E33915" w:rsidRPr="008354C2" w:rsidRDefault="00E33915" w:rsidP="0010228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Hợp đồng bảo hiểm trùng:</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sz w:val="28"/>
          <w:szCs w:val="28"/>
        </w:rPr>
        <w:t xml:space="preserve">+ Điều 36: </w:t>
      </w:r>
      <w:r w:rsidR="00102281" w:rsidRPr="008354C2">
        <w:rPr>
          <w:rFonts w:ascii="Times New Roman" w:hAnsi="Times New Roman" w:cs="Times New Roman"/>
          <w:sz w:val="28"/>
          <w:szCs w:val="28"/>
        </w:rPr>
        <w:t>“</w:t>
      </w:r>
      <w:r w:rsidRPr="008354C2">
        <w:rPr>
          <w:rFonts w:ascii="Times New Roman" w:hAnsi="Times New Roman" w:cs="Times New Roman"/>
          <w:i/>
          <w:sz w:val="28"/>
          <w:szCs w:val="28"/>
        </w:rPr>
        <w:t>Trong bảo hiểm trùng, một chủ hợp đồng bảo hiểm thông báo cho từng công ty bảo hiểm tên của các công ty bảo hiểm khác và số tiền họ được bảo hiểm, trừ khi được quy định khác.</w:t>
      </w:r>
      <w:r w:rsidR="00102281" w:rsidRPr="008354C2">
        <w:rPr>
          <w:rFonts w:ascii="Times New Roman" w:hAnsi="Times New Roman" w:cs="Times New Roman"/>
          <w:i/>
          <w:sz w:val="28"/>
          <w:szCs w:val="28"/>
        </w:rPr>
        <w:t>”</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sz w:val="28"/>
          <w:szCs w:val="28"/>
        </w:rPr>
        <w:t xml:space="preserve">+ Điều 37: </w:t>
      </w:r>
      <w:r w:rsidR="00102281" w:rsidRPr="008354C2">
        <w:rPr>
          <w:rFonts w:ascii="Times New Roman" w:hAnsi="Times New Roman" w:cs="Times New Roman"/>
          <w:sz w:val="28"/>
          <w:szCs w:val="28"/>
        </w:rPr>
        <w:t>“</w:t>
      </w:r>
      <w:r w:rsidRPr="008354C2">
        <w:rPr>
          <w:rFonts w:ascii="Times New Roman" w:hAnsi="Times New Roman" w:cs="Times New Roman"/>
          <w:i/>
          <w:sz w:val="28"/>
          <w:szCs w:val="28"/>
        </w:rPr>
        <w:t>Nếu một chủ hợp đồng bảo hiểm cố ý không đưa ra thông báo được đề cập trong Điều trước, hoặc có được bảo hiểm trùng với mục đích thu được lợi nhuận không hợp lệ, hợp đồng sẽ bị vô hiệu.</w:t>
      </w:r>
      <w:r w:rsidR="00102281" w:rsidRPr="008354C2">
        <w:rPr>
          <w:rFonts w:ascii="Times New Roman" w:hAnsi="Times New Roman" w:cs="Times New Roman"/>
          <w:i/>
          <w:sz w:val="28"/>
          <w:szCs w:val="28"/>
        </w:rPr>
        <w:t>”</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sz w:val="28"/>
          <w:szCs w:val="28"/>
        </w:rPr>
        <w:t xml:space="preserve">+ Điều 51: </w:t>
      </w:r>
      <w:r w:rsidR="00102281" w:rsidRPr="008354C2">
        <w:rPr>
          <w:rFonts w:ascii="Times New Roman" w:hAnsi="Times New Roman" w:cs="Times New Roman"/>
          <w:sz w:val="28"/>
          <w:szCs w:val="28"/>
        </w:rPr>
        <w:t>“</w:t>
      </w:r>
      <w:r w:rsidRPr="008354C2">
        <w:rPr>
          <w:rFonts w:ascii="Times New Roman" w:hAnsi="Times New Roman" w:cs="Times New Roman"/>
          <w:i/>
          <w:sz w:val="28"/>
          <w:szCs w:val="28"/>
        </w:rPr>
        <w:t>Nếu rủi ro liên quan đến đối tượng được bảo hiểm đã xảy ra hoặc không còn tồn tại vào thời điểm hợp đồng bảo hiểm được ký kết, thì hợp đồng bảo hiểm sẽ bị vô hiệu, với điều kiện là quy tắc này không áp dụng khi cả hai bên tham gia vào hợp đồng biết sự cố xảy ra hoặc việc chấm dứt sự tồn tại.</w:t>
      </w:r>
      <w:r w:rsidR="00102281" w:rsidRPr="008354C2">
        <w:rPr>
          <w:rFonts w:ascii="Times New Roman" w:hAnsi="Times New Roman" w:cs="Times New Roman"/>
          <w:i/>
          <w:sz w:val="28"/>
          <w:szCs w:val="28"/>
        </w:rPr>
        <w:t>”</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sz w:val="28"/>
          <w:szCs w:val="28"/>
        </w:rPr>
        <w:t xml:space="preserve">+ Điều 105: </w:t>
      </w:r>
      <w:r w:rsidR="00102281" w:rsidRPr="008354C2">
        <w:rPr>
          <w:rFonts w:ascii="Times New Roman" w:hAnsi="Times New Roman" w:cs="Times New Roman"/>
          <w:sz w:val="28"/>
          <w:szCs w:val="28"/>
        </w:rPr>
        <w:t>“</w:t>
      </w:r>
      <w:r w:rsidRPr="008354C2">
        <w:rPr>
          <w:rFonts w:ascii="Times New Roman" w:hAnsi="Times New Roman" w:cs="Times New Roman"/>
          <w:i/>
          <w:sz w:val="28"/>
          <w:szCs w:val="28"/>
        </w:rPr>
        <w:t>Hợp đồng bảo hiểm nhân thọ cho cái chết do bên thứ ba ký kết mà không có sự đồng ý bằng văn bản của người được bảo hiểm và quy định số tiền bảo hiểm sẽ bị vô hiệu.</w:t>
      </w:r>
      <w:r w:rsidR="00102281" w:rsidRPr="008354C2">
        <w:rPr>
          <w:rFonts w:ascii="Times New Roman" w:hAnsi="Times New Roman" w:cs="Times New Roman"/>
          <w:i/>
          <w:sz w:val="28"/>
          <w:szCs w:val="28"/>
        </w:rPr>
        <w:t>”</w:t>
      </w:r>
    </w:p>
    <w:p w:rsidR="00E33915" w:rsidRPr="008354C2" w:rsidRDefault="00E33915" w:rsidP="00E33915">
      <w:pPr>
        <w:spacing w:before="120" w:after="120"/>
        <w:ind w:firstLine="720"/>
        <w:jc w:val="both"/>
        <w:rPr>
          <w:rFonts w:ascii="Times New Roman" w:hAnsi="Times New Roman" w:cs="Times New Roman"/>
          <w:i/>
          <w:sz w:val="28"/>
          <w:szCs w:val="28"/>
        </w:rPr>
      </w:pPr>
      <w:r w:rsidRPr="008354C2">
        <w:rPr>
          <w:rFonts w:ascii="Times New Roman" w:hAnsi="Times New Roman" w:cs="Times New Roman"/>
          <w:sz w:val="28"/>
          <w:szCs w:val="28"/>
        </w:rPr>
        <w:t xml:space="preserve">+ Điều 122: </w:t>
      </w:r>
      <w:r w:rsidR="00102281" w:rsidRPr="008354C2">
        <w:rPr>
          <w:rFonts w:ascii="Times New Roman" w:hAnsi="Times New Roman" w:cs="Times New Roman"/>
          <w:sz w:val="28"/>
          <w:szCs w:val="28"/>
        </w:rPr>
        <w:t>“</w:t>
      </w:r>
      <w:r w:rsidRPr="008354C2">
        <w:rPr>
          <w:rFonts w:ascii="Times New Roman" w:hAnsi="Times New Roman" w:cs="Times New Roman"/>
          <w:i/>
          <w:sz w:val="28"/>
          <w:szCs w:val="28"/>
        </w:rPr>
        <w:t>Nếu tuổi của người được bảo hiểm bị kê khai sai và tuổi thực tế của người được bảo hiểm vượt quá giới hạn về tuổi bảo hiểm do công ty bảo hiểm quy định thì hợp đồng sẽ bị vô hiệu và công ty bảo hiểm phải hoàn trả phí bảo hiểm đã được người được bảo hiểm thanh toán.</w:t>
      </w:r>
      <w:r w:rsidR="00102281" w:rsidRPr="008354C2">
        <w:rPr>
          <w:rFonts w:ascii="Times New Roman" w:hAnsi="Times New Roman" w:cs="Times New Roman"/>
          <w:i/>
          <w:sz w:val="28"/>
          <w:szCs w:val="28"/>
        </w:rPr>
        <w:t>”</w:t>
      </w:r>
    </w:p>
    <w:p w:rsidR="00481301" w:rsidRPr="008354C2" w:rsidRDefault="00481301" w:rsidP="00481301">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2.2. Quy định về chấm dứt hợp đồng</w:t>
      </w:r>
    </w:p>
    <w:p w:rsidR="00481301" w:rsidRPr="008354C2" w:rsidRDefault="00481301" w:rsidP="004813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Việc chấm dứt hợp đồng bảo hiểm cũng được quy định khác nhau ở mỗi nước, cụ thể như sau:</w:t>
      </w:r>
    </w:p>
    <w:p w:rsidR="00481301" w:rsidRPr="008354C2" w:rsidRDefault="00481301" w:rsidP="00481301">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2.2.1. Trung Quốc</w:t>
      </w:r>
    </w:p>
    <w:p w:rsidR="00481301" w:rsidRPr="008354C2" w:rsidRDefault="00481301" w:rsidP="004813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Điều 52 Luật bảo hiểm Trung Quốc có quy định về chấm dứt hợp đồng bảo hiểm như sau:</w:t>
      </w:r>
    </w:p>
    <w:p w:rsidR="00481301" w:rsidRPr="008354C2" w:rsidRDefault="00CE6D42"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Trường hợp mức độ nguy hiểm của đối tượng được bảo hiểm tăng lên đáng kể trong thời hạn của hợp đồng, người được bảo hiểm phải thông báo cho công ty bảo hiểm một cách kịp thời theo thoả thuận trong hợp đồng và công ty bảo hiểm có thể tăng phí bảo hiểm hoặc chấm dứt hợp đồng theo thỏa thuận trong hợp đồng. Nếu công ty bảo hiểm chọn hủy hợp đồng, công ty bảo hiểm sẽ hoàn lại phí bảo hiểm theo tỷ lệ cho phần thời hạn chưa hết hạn kể từ ngày hủy.</w:t>
      </w:r>
    </w:p>
    <w:p w:rsidR="00481301" w:rsidRPr="008354C2" w:rsidRDefault="00481301"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Trường hợp người được bảo hiểm không thực hiện nghĩa vụ thông báo quy định tại khoản trên, thì công ty bảo hiểm không chịu trách nhiệm đối với bất kỳ sự cố được bảo hiểm nào mà phát sinh từ việc gia tăng đáng kể mức độ nguy hiểm của đối tượng được bảo hiểm.</w:t>
      </w:r>
      <w:r w:rsidR="00CE6D42" w:rsidRPr="008354C2">
        <w:rPr>
          <w:rFonts w:ascii="Times New Roman" w:hAnsi="Times New Roman" w:cs="Times New Roman"/>
          <w:i/>
          <w:sz w:val="28"/>
          <w:szCs w:val="28"/>
        </w:rPr>
        <w:t>”</w:t>
      </w:r>
    </w:p>
    <w:p w:rsidR="00481301" w:rsidRPr="008354C2" w:rsidRDefault="00481301" w:rsidP="00CE6D42">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2.2.2. Châu Âu</w:t>
      </w:r>
    </w:p>
    <w:p w:rsidR="00481301" w:rsidRPr="008354C2" w:rsidRDefault="00481301" w:rsidP="00CE6D42">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Hợp đồng bảo hiểm Châu Âu cũng có một số quy định về chấm dứt bảo hiểm như sau:</w:t>
      </w:r>
    </w:p>
    <w:p w:rsidR="00481301" w:rsidRPr="008354C2" w:rsidRDefault="00481301" w:rsidP="00C6052D">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 207 Không phân biệt đối xử</w:t>
      </w:r>
    </w:p>
    <w:p w:rsidR="00481301" w:rsidRPr="008354C2" w:rsidRDefault="00481301"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Giới tính, mang thai, thai sản, quốc tịch và nguồn gốc chủng tộc hoặc sắc tộc không phải là yếu tố dẫn đến sự khác biệt về phí bảo hiểm và lợi ích của cá nhân…</w:t>
      </w:r>
    </w:p>
    <w:p w:rsidR="00481301" w:rsidRPr="008354C2" w:rsidRDefault="00481301"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Trong trường hợp vi phạm đoạn 1, chủ hợp đồng có quyền chấm dứt hợp đồng. Thông báo chấm dứt sẽ được gửi cho công ty bảo hiểm bằng văn bản trong vòng hai tháng sau khi sự vi phạm chính sách được biết đến.</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 101 Nghĩa vụ khai báo</w:t>
      </w:r>
    </w:p>
    <w:p w:rsidR="00481301" w:rsidRPr="008354C2" w:rsidRDefault="00481301"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Khi ký kết hợp đồng, đương đơn phải thông báo cho công ty bảo hiểm về hoàn cảnh mà họ đang biết hoặc cần phải biết, và đó cũng là vấn đề mà công ty bảo hiểm cần phải làm rõ bằng  các câu hỏi rõ ràng và chính xác.</w:t>
      </w:r>
    </w:p>
    <w:p w:rsidR="00481301" w:rsidRPr="008354C2" w:rsidRDefault="00481301"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Các trường hợp được đề cập trong đoạn 1 bao gồm những người mà người được bảo hiểm đã biết hoặc nên biết.</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 102 Vi phạm</w:t>
      </w:r>
    </w:p>
    <w:p w:rsidR="00481301" w:rsidRPr="008354C2" w:rsidRDefault="00481301"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Khi chủ hợp đồng vi phạm Điều 2: 101, tùy theo khoản 2 đến 5, công ty bảo hiểm có quyền đề xuất một sự thay đổi hợp lý của hợp đồng hoặc chấm dứt hợp đồng. Cuối cùng, công ty bảo hiểm phải thông báo bằng văn bản về ý định của mình, kèm theo thông tin về hậu quả pháp lý của quyết định của mình cho đương đơn, trong vòng một tháng sau khi vi phạm Điều 2: 101 trở nên rõ ràng.</w:t>
      </w:r>
    </w:p>
    <w:p w:rsidR="00481301" w:rsidRPr="008354C2" w:rsidRDefault="00481301"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công ty bảo hiểm đề xuất một thay đổi hợp lý, hợp đồng sẽ tiếp tục trên cơ sở thay đổi được đề xuất, trừ khi chủ hợp đồng từ chối đề xuất trong vòng một tháng kể từ khi nhận được thông báo được đề cập trong khoản 1. Trong trường hợp đó, công ty bảo hiểm có quyền chấm dứt hợp đồng trong vòng một tháng kể từ ngày nhận được thông báo bằng văn bản về việc từ chối của chủ hợp đồng.</w:t>
      </w:r>
    </w:p>
    <w:p w:rsidR="00481301" w:rsidRPr="008354C2" w:rsidRDefault="00481301" w:rsidP="006B1289">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Công ty bảo hiểm không được chấm dứt hợp đồng nếu công ty bảo hiểm vi phạm Điều 2: 101, trừ khi công ty bảo hiểm chứng minh rằng họ sẽ không ký kết hợp đồng, nếu họ đã biết thông tin liên quan.</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(4) Chấm dứt hợp đồng sẽ có hiệu lực sau một tháng kể từ ngày thông báo bằng văn bản được đề cập trong khoản 1 đã được chủ hợp đồng nhận. Sự thay đổi sẽ có hiệu lực theo thỏa thuận của các bên.</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(5) Nếu một sự kiện được bảo hiểm gây ra bởi một yếu tố rủi ro, mà yếu tố rủi ro đó là đối tượng của sự bất cẩn không khai báo hoặc trình bày sai bởi chủ hợp đồng, và rủi ro này xảy ra trước khi chấm dứt hoặc thay đổi hợp đồng có hiệu lực, thì công ty bảo hiểm sẽ không trả tiền bảo hiểm đối với loại rủi ro này nếu họ kết luận không biết thông tin này khi ký hợp đồng. Tuy nhiên, nếu công ty bảo hiểm đã ký kết hợp đồng với mức phí cao hơn hoặc theo các điều khoản khác nhau, tiền bảo hiểm sẽ được trả tương ứng hoặc theo các điều khoản đó.</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 604 Chấm dứt hợp đồng sau khi xảy ra sự kiện được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Một điều khoản quy định việc chấm dứt hợp đồng sau khi một sự kiện được bảo hiểm đã xảy ra sẽ không có giá trị trừ khi</w:t>
      </w:r>
      <w:r w:rsidR="00CE6D42" w:rsidRPr="008354C2">
        <w:rPr>
          <w:rFonts w:ascii="Times New Roman" w:hAnsi="Times New Roman" w:cs="Times New Roman"/>
          <w:i/>
          <w:sz w:val="28"/>
          <w:szCs w:val="28"/>
        </w:rPr>
        <w:t>:</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nó trao quyền chấm dứt hợp đồng cho cả hai bên và</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chính sách không phải là một trong những bảo hiểm cá nhân.</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Cả quy định chấm dứt và thực hiện bất kỳ quyền chấm dứt nào đều phải hợp lý.</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Bất kỳ quyền chấm dứt nào sẽ hết hiệu lực nếu bên được đề cập không được thông báo bằng văn bản về việc chấm dứt cho bên kia trong vòng hai tháng sau khi nhận thức được sự kiện được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Bảo hiểm sẽ chấm dứt hai tuần sau khi thông báo phù hợp với điều khoản 3.</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4: Quyền chấm dứt hợp đồng của bên công ty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Điều khoản quy định rằng trong trường hợp không tuân thủ biện pháp phòng ngừa, công ty bảo hiểm có quyền chấm dứt hợp đồng, điều đó sẽ không có hiệu lực trừ khi bên chủ hợp đồng bảo hiểm hoặc bên được bảo hiểm vi phạm nghĩa vụ của mình với mục đích gây ra tổn thất hoặc thiếu thận trọng và nhận thức rằng sự tổn thất có thể sẽ xảy ra.</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Quyền chấm dứt sẽ được thực hiện bằng cách thông báo bằng văn bản cho bên chủ hợp đồng bảo hiểm trong vòng một tháng kể từ khi việc không tuân thủ biện pháp phòng ngừa trở nên rõ ràng hoặc rõ ràng đối với công ty bảo hiểm. Việc trang trải bảo biểm kết thúc tại thời điểm chấm dứt.</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4: 203 Chấm dứt và hủy bỏ</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hợp đồng quy định rằng, trong trường hợp có Tăng nặng rủi ro được bảo hiểm thì công ty bảo hiểm có quyền chấm dứt hợp đồng, quyền đó được thực hiện bằng việc thông báo bằng văn bản cho người bảo lãnh trong vòng một tháng kể từ khi tăng nặng rủ</w:t>
      </w:r>
      <w:r w:rsidR="00C6052D" w:rsidRPr="008354C2">
        <w:rPr>
          <w:rFonts w:ascii="Times New Roman" w:hAnsi="Times New Roman" w:cs="Times New Roman"/>
          <w:i/>
          <w:sz w:val="28"/>
          <w:szCs w:val="28"/>
        </w:rPr>
        <w:t xml:space="preserve">i ro </w:t>
      </w:r>
      <w:r w:rsidRPr="008354C2">
        <w:rPr>
          <w:rFonts w:ascii="Times New Roman" w:hAnsi="Times New Roman" w:cs="Times New Roman"/>
          <w:i/>
          <w:sz w:val="28"/>
          <w:szCs w:val="28"/>
        </w:rPr>
        <w:t>được biết đến hoặc rõ ràng cho công ty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Bảo hiểm sẽ hết hạn sau một tháng kể từ khi chấm dứt hoặc tại thời điểm chấm dứt, nếu chủ hợp đồng có ý định vi phạm nghĩa vụ theo Điều 4: 202,</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một sự kiện được bảo hiểm là do rủi ro tăng nặng, trong đó chủ hợp đồng cần phải biết, trước khi hết hạn, sẽ không có khoản tiền bảo hiểm nào được trả nếu công ty bảo hiểm không bảo hiểm rủi ro tăng nặng. Tuy nhiên, nếu công ty bảo hiểm có thể bảo hiểm rủi ro tăng nặng với phí bảo hiểm cao hơn hoặc theo các điều khoản khác nhau, tiền bảo hiểm sẽ được trả tương ứng hoặc theo tỷ lệ hoặc theo các điều khoản đó.</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4: 301 Kết quả của việc giảm nhẹ rủi ro</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có sự giảm thiểu rủi ro vật chất, chủ hợp đồng có quyền yêu cầu giảm một phần phí bảo hiểm tương ứng trong thời gian còn lại của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các bên không đồng ý giảm một phần trong vòng một tháng kể từ ngày yêu cầu, chủ hợp đồng có quyền chấm dứt hợp đồng bằng văn bản thông báo trong vòng hai tháng kể từ ngày yêu cầu.</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5: 103 Chấm dứt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Khi hết thời hạn quy định tại Điều 5: 101 (b) hoặc Điều 5: 102 khoản 1 (b), chủ hợp đồng bảo hiểm không thanh toán phí bảo hiểm, công ty bảo hiểm có quyền chấm dứt hợp đồng bằng văn bản thông báo, với điều kiện hóa đơn theo yêu cầu của Điều 5: 101 (b) hoặc lời nhắc theo Điề</w:t>
      </w:r>
      <w:r w:rsidR="00C6052D" w:rsidRPr="008354C2">
        <w:rPr>
          <w:rFonts w:ascii="Times New Roman" w:hAnsi="Times New Roman" w:cs="Times New Roman"/>
          <w:i/>
          <w:sz w:val="28"/>
          <w:szCs w:val="28"/>
        </w:rPr>
        <w:t xml:space="preserve">u 5: 102. 1 (b), </w:t>
      </w:r>
      <w:r w:rsidRPr="008354C2">
        <w:rPr>
          <w:rFonts w:ascii="Times New Roman" w:hAnsi="Times New Roman" w:cs="Times New Roman"/>
          <w:i/>
          <w:sz w:val="28"/>
          <w:szCs w:val="28"/>
        </w:rPr>
        <w:t>như trường hợp cụ thể, nêu rõ quyền của công ty bảo hiểm để chấm dứt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Hợp đồng sẽ được coi là chấm dứt nếu, như trường hợp cụ thể, công ty bảo hiểm không đưa ra một hành động thực hiện thanh toán</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phí bảo hiểm đầu tiên trong vòng hai tháng sau khi hết thời hạn nêu tại Điều 5: 101 (b); hoặc là</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của khoản phí bảo hiểm tiếp theo trong vòng hai tháng hết hạn của giai đoạn được đề cập trong Điều 5: 102 khoản 1(b).</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5: 104 Phân chia phí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Nếu hợp đồng bảo hiểm chấm dứt trước khi hết thời hạn hợp đồng, công ty bảo hiểm chỉ được hưởng phí bảo hiểm theo thời hạn trước khi chấm dứt hợp đồng.</w:t>
      </w:r>
    </w:p>
    <w:p w:rsidR="00481301" w:rsidRPr="008354C2" w:rsidRDefault="00481301" w:rsidP="007C2F44">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17: 204 Quyền chấm dứt hợp đồng của chủ hợp đồng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Chủ hợp đồng có quyền chấm dứt hợp đồng bảo hiểm nhân thọ không có giá trị chuyển đổi hoặc giá trị hoàn lại, với điều kiện việc chấm dứt không có hiệu lực sớm hơn một năm sau khi kết thúc hợp đồng. Quyền chấm dứt trước khi kết thúc thời hạn hợp đồng có thể bị loại trừ khi một khoản phí bảo hiểm duy nhất đã được thanh toán. Việc chấm dứt phải bằng văn bản và có hiệu lực sau hai tuần kể từ ngày nhận được thông báo chấm dứt của công ty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hợp đồng bảo hiểm nhân thọ có giá trị chuyển đổi hoặc giá trị giải ước, Điều 17: 601 đến 17: 603 sẽ được áp dụng.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18: 203 Chấm dứt bởi công ty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Với mục đích của Điều 2: 604, việc thực hiện quyền chấm dứt của công ty bảo hiểm sẽ chỉ được coi là hợp lý nếu bị giới hạn việc loại trừ từ bảo hiểm của các thành viên trong nhóm tới người mà sự kiện bảo hiểm xảy ra.</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Theo mục đích của Điều 4: 102 và Điều 4: 203 khoản 1, việc thực hiện quyền chấm dứt của công ty bảo hiểm chỉ có tác dụng loại trừ các thành viên nhóm đó khỏi những người chưa thực hiện các biện pháp phòng ngừa bắt buộc hoặc có rủi ro bị trầm trọng hơn, như trường hợp có thể xảy ra..</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Vì mục đích của Điều 12: 102 chấm dứt hợp đồng bảo hiểm chỉ có tác dụng loại trừ các thành viên nhóm đã chuyển quyền sở hữu của họ sang tài sản được bảo hiểm.</w:t>
      </w:r>
    </w:p>
    <w:p w:rsidR="00481301" w:rsidRPr="008354C2" w:rsidRDefault="00481301" w:rsidP="00547EE3">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2.2.3. Đức</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Quy định về chấm dứt hợp đồng bảo hiểm được quy định tại một số Điều của Luật bảo hiểm Đức, cụ thể như sau:</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11. Tái tục, chấm dứt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Chủ hợp đồng bảo hiểm có thể chấm dứt hợp đồng đã ký trong thời hạn trên ba năm sau khi kết thúc năm thứ ba hoặc mỗi năm sau đó nếu thông báo trong vòng ba tháng.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19. Nghĩa vụ khai báo</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Quyền rút khỏi hợp đồng của công ty bảo hiểm được loại trừ nếu chủ hợp đồng bảo hiểm vi phạm nghĩa vụ khai báo không phải do chủ ý hay do vô ý. Trong các trường hợp này, công ty bảo hiểm vẫn có quyền chấm dứt hợp đồng, nhưng phải thông báo cho chủ hợp đồng bảo hiểm trong vòng một tháng.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Quyền rút khỏi hợp đồng của công ty bảo hiểm do sự vô ý vi phạm nghĩa vụ khai báo và quyền chấm dứt hợp đồng của công ty bảo hiểm theo tiểu mục (3), câu thứ hai, sẽ được loại trừ nếu công ty bảo hiểm vẫn ký kết hợp đồng khi biết được các sự việc chưa được khai báo, bất kể các điều kiện khác. Các điều kiện khác là một phần không tách rời của hợp đồng có hiệu lực hồi tố theo yêu cầu của công ty bảo hiểm; trong trường hợp vi phạm nghĩa vụ mà không thuộc trách nhiệm của chủ hợp đồng bảo hiểm thì chúng sẽ là một phần không tách rời của hợp đồng trong thời hạn bảo hiểm hiện tại.</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(5) Công ty bảo hiểm chỉ có các quyền theo các tiểu mục (2) – (4) nếu đã cảnh báo chủ hợp đồng bảo hiểm bằng văn bản về hậu quả của mọi vi phạm nghĩa vụ khai báo. Các quyền này sẽ không được công nhận nếu công ty bảo hiểm nhận thức được các yếu tố rủi ro được khai báo hoặc khai báo thiếu chính xác.</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(6) Trong trường hợp như quy định tại tiểu mục (4), câu thứ hai, dẫn đến tăng phí bảo hiểm trên 10% do thay đổi hợp đồng, hoặc nếu công ty bảo hiểm từ chối bảo hiểm rủi ro cho sự kiện không được khai báo thì chủ hợp đồng bảo hiểm có thể chấm dứt hợp đồng mà không cần thông báo trước trong vòng một tháng kể từ khi nhận được thông tin của công ty bảo hiểm. Công ty bảo hiểm sẽ thông báo cho chủ hợp đồng bảo hiểm về quyền nhận thông tin này.</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24. Chấm dứt hợp đồng do nâng mức rủi ro được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chủ hợp đồng bảo hiểm vi phạm nghĩa vụ của mình theo Điều 23 (1) thì công ty bảo hiểm có thể chấm dứt hợp đồng bảo hiểm mà không cần thông báo trước, trừ khi công ty bảo hiểm vi phạm nghĩa vụ của mình không phải do chủ ý hoặc vô ý một cách không thể chấp nhận được. Nếu vi phạm do trên sự vô ý thông thường thì công ty bảo hiểm có thể chấm dứt hợp đồng trong vòng một tháng.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phát sinh sự nâng mức rủi ro được bảo hiểm theo Điều 23 (2) và (3) thì công ty bảo hiểm có thể chấm dứt hợp đồng trong vòng một tháng.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Quyền chấm dứt theo tiểu mục (1) và (2) sẽ kết thúc nếu không được thực hiện trong vòng một tháng kể từ khi công ty bảo hiểm biết được sự nâng mức rủi ro được bảo hiểm hoặc nếu  vụ việc đã tồn tại trước khi tăng nặng.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25. Tăng phí bảo hiểm do nâng mức rủi ro</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Thay vì chấm dứt hợp đồng bảo hiểm, công ty bảo hiểm có thể, từ thời điểm phát sinh nâng mức rủi ro được bảo hiểm, yêu cầu điều chỉnh phí bảo hiểm tương ứng với rủi ro được bảo hiểm tăng nặng theo các nguyên tắc kinh doanh của mình hoặc có thể loại trừ phạm vi bảo hiểm cho rủi ro tăng nặng. Điều 24(3) sẽ được áp dụng tương ứng với việc chấm dứt quyền này.</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phí bảo hiểm tăng trên 10% do sự nâng mức rủi ro được bảo hiểm hoặc công ty bảo hiểm loại trừ phạm vi bảo hiểm đối với rủi ro tăng nặng thì chủ hợp đồng bảo hiểm có thể chấm dứt hợp đồng mà không cần thông báo trước trong vòng 1 tháng kể từ khi nhận được thông báo từ công ty bảo hiểm. Công ty bảo hiểm phải thông báo cho chủ hợp đồng bảo hiểm về quyền nhận thông tin này.</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28. Không tuân thủ một nghĩa vụ bổ sung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Trong trường hợp không tuân thủ một nghĩa vụ bổ sung mà chủ hợp đồng bảo hiểm phải thực hiện đối với công ty bảo hiểm trước khi phát sinh một sự kiện được bảo hiểm thì công ty bảo hiểm có thể chấm dứt hợp đồng mà không cần thông báo trước trong vòng 1 tháng kể từ khi biết được sự vi phạm này, trừ phi vi phạm không phải do chủ ý hoặc không phải do vô ý một cách không thể chấp nhận được.</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29. Rút khỏi một phần, chấm dứt một phần, miễn một phần trách nhiệm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các điều kiện làm cơ sở cho công ty bảo hiểm rút khỏi hoặc chấm dứt hợp đồng, phù hợp với các quy định nêu ở Mục này, chỉ được một nhóm đối tượng hoặc cá nhân liên quan đáp ứng thì công ty bảo hiểm  chỉ có quyền rút khỏi hoặc chấm dứt hợp đồng đối với những đối tượng và cá nhân còn lại nếu  công ty bảo hiểm không ký hợp đồng cho phần này với các điều kiện tương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công ty bảo hiểm thực hiện quyền rút khỏi hoặc chấm dứt hợp đồng liên quan đến một phần đối tượng hoặc cá nhân thì chủ hợp đồng bảo hiểm có quyền chấm dứt hợp đồng bảo hiểm liên quan đến những đối tượng hoặc cá nhân còn lại. Quyết định chấm dứt phải được đưa ra muộn nhất là khi hết thời hạn bảo hiểm, mà qua đó việc chấm dứt hoặc rút khỏi hợp đồng của công ty bảo hiểm có hiệu lực.</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các điều kiện làm cơ sở cho công ty bảo hiểm được miễn một phần hoặc toàn bộ trách nhiệm do vi phạm các quy định liên quan đến nâng mức rủi ro được bảo hiểm chỉ được một nhóm các đối tượng hoặc cá nhân liên quan đáp ứng thì việc miễn trách nhiệm được điều chỉnh một cách phù hợp theo tiểu mục (1).</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38. Chậm nộp phí bảo hiếm các lần sau</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Công ty bảo hiểm có thể, chấm dứt hợp đồng sau khi đáo hạn mà không cần thông báo trước trong trường hợp chủ hợp đồng bảo hiểm còn nợ nộp các số tiền đến hạn. Việc chấm dứt có thể đi kèm với việc đặt ra thời hạn thanh toán sau khi hợp đồng hết hiệu lực, nếu chủ hợp đồng bảo hiểm còn chưa nộp tiền kịp thời; chủ hợp đồng bảo hiểm phải được thông báo rõ ràng về việc này trong văn bản chấm dứt hợp đồng. Việc chấm dứt sẽ bị vô hiệu nếu chủ hợp đồng bảo hiểm nộp tiền trong vòng 1 tháng kể từ khi hợp đồng được chấm dứt hoặc nếu nó được đi kèm với việc thiết lập một thời hạn, trong vòng 1 tháng kể từ khi hết hạn hợp đồng tiểu mục (2) không bị ảnh hưởng.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39. Chấm dứt hợp đồng trước ngày thỏa thuận</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Trong trường hợp chấm dứt hợp đồng bảo hiểm trước khi hết thời hạn bảo hiểm, công ty bảo hiểm chỉ có quyền hưởng phí bảo hiểm cho thời gian bảo hiểm tương ứng với thời gian tồn tại phạm vi bảo hiểm. Nếu hợp đồng bảo hiểm bị chấm dứt do rút khỏi hợp đồng theo Điều 19 (2) hoặc do công ty bảo hiểm hủy vì khai báo gian lận, thì công ty bảo hiểm có quyền hưởng phí bảo hiểm cho đến thời điểm tuyên bố chấm dứt hoặc hủy bỏ hợp đồng có hiệu lực. Nếu công ty bảo hiểm rút khỏi hợp đồng trên cơ sở Điều 37(1) thì có thể yêu cầu một mức phí phù hợp.</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hợp đồng bảo hiểm kết thúc theo Điều 16 thì chủ hợp đồng bảo hiểm có thể yêu cầu hoàn trả số phí bảo hiểm tương ứng với thời gian sau khi chấm dứt hợp đồng bảo hiểm, trừ đi chi phí liên quan trong thời gian đó.</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40. Chấm dứt hợp đồng do tăng phí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công ty bảo hiểm tăng phí bảo hiểm trên cơ sở một điều khoản điều chỉnh nằm ngoài phạm vi bảo hiểm, qua đó thay đổi mối quan hệ liên quan thì chủ hợp đồng bảo hiểm có thể chấm dứt hợp đồng trong vòng 1 tháng kể từ khi nhận được thông tin từ công ty bảo hiểm, tuy nhiên sớm nhất là vào thời điểm quyết định tăng phí bảo hiểm có hiệu lực. Công ty bảo hiểm phải thông báo cho chủ hợp đồng bảo hiểm về quyền chấm dứt hợp đồng của chủ hợp đồng bảo hiểm. Chủ hợp đồng bảo hiểm phải nhận được thông báo muộn nhất 1 tháng trước khi việc tăng phí bảo hiểm có hiệu lực.</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Tiểu mục (1) sẽ được áp dụng tương ứng nếu công ty bảo hiểm thu hẹp phạm vi bảo hiểm dựa trên một điều khoản điều  chỉnh mà không giảm trừ phí bảo hiểm tương ứng.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52. Chấm dứt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Hợp đồng bảo hiểm tạm thời sẽ hết hạn muộn nhất vào thời điểm một phạm vi bảo hiểm tương tự bắt đầu trên cơ sở hợp đồng chính được ký kết bởi chủ hợp đồng bảo hiểm hoặc hợp đồng bảo hiểm tạm thời khác. Nếu thời điểm bắt đầu phạm vi bảo hiểm theo hợp đồng chính hoặc hợp đồng bảo hiểm tạm thời khác được xác định dựa vào thời điểm nộp phí bảo hiểm của chủ hợp đồng bảo hiểm thì hợp đồng bảo hiểm tạm thời sẽ hết hạn trong trường hợp không nộp hoặc chậm nộp phí bảo hiểm bất kể câu đầu tiên muộn nhất vào thời điểm chủ hợp đồng bảo hiểm còn nợ nộp phí bảo hiểm, với điều kiện là công ty bảo hiểm đã thông báo cho chủ hợp đồng bảo hiểm về hậu quả pháp lý này bằng văn bản trong một thư từ riêng biệt hoặc bằng cách lưu ý rõ ràng trong hợp đồng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Tiểu mục (1) sẽ không áp dụng nếu chủ hợp đồng bảo hiểm ký kết hợp đồng chính hoặc hợp đồng bảo hiểm tạm thời khác với công ty bảo hiểm khác. Chủ hợp đồng bảo hiểm phải thông báo cho công ty bảo hiểm trước đó ngay về việc hợp đồng được ký kết.</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hợp đồng chính không được ký kết với công ty bảo hiểm mà hợp đồng bảo hiểm tạm thời được ký do chủ hợp đồng bảo hiểm rút lại thông báo chấp nhận hợp đồng theo Điều 8 hoặc gửi phản đối theo Điều 5(1) và (2) thì hợp đồng bảo hiểm tạm thời sẽ hết hạn muộn nhất khi công ty bảo hiểm nhận được thông báo rút hoặc phản đối.</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Nếu hợp đồng bảo hiểm được ký kết cho một khoảng thời gian không xác định, mỗi bên hợp đồng có thể chấm dứt hợp đồng mà không cần thông báo trước. Tuy nhiên, việc chấm dứt của công ty bảo hiểm sẽ không có hiệu lực cho đến hai tuần kể từ khi nhận được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(5) Nghiêm cấm các thỏa thuận khác biệt với tiểu mụ</w:t>
      </w:r>
      <w:r w:rsidR="00547EE3" w:rsidRPr="008354C2">
        <w:rPr>
          <w:rFonts w:ascii="Times New Roman" w:hAnsi="Times New Roman" w:cs="Times New Roman"/>
          <w:i/>
          <w:sz w:val="28"/>
          <w:szCs w:val="28"/>
        </w:rPr>
        <w:t xml:space="preserve">c </w:t>
      </w:r>
      <w:r w:rsidRPr="008354C2">
        <w:rPr>
          <w:rFonts w:ascii="Times New Roman" w:hAnsi="Times New Roman" w:cs="Times New Roman"/>
          <w:i/>
          <w:sz w:val="28"/>
          <w:szCs w:val="28"/>
        </w:rPr>
        <w:t>(1) – (4) gây thiệt hại cho chủ hợp đồng bảo hiểm.</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54. Vi phạm nghĩa vụ khai báo</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chủ hợp đồng bảo hiểm không thông báo rủi ro được bảo hiểm trên cơ sở tính toán phí bảo hiểm đã thỏa thuận hoặc không yêu cầu ghi chú bảo hiểm hoặc đã có sai sót khi làm vậy thì công ty bảo hiểm sẽ không có nghĩa vụ chi trả. Điều này không áp dụng nếu chủ hợp đồng bảo hiểm không vi phạm nghĩa vụ khai báo và nộp đơn yêu cầu một cách chủ ý hoặc vô ý một cách không thể chấp nhận được và thông báo được đưa ra hoặc đơn yêu cầu được đệ trình hoặc sai sót được chỉnh sửa ngay sau khi biết được sai sót đó.</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chủ hợp đồng bảo hiểm cố ý vi phạm nghĩa vụ khai báo và nộp đơn yêu cầu thì công ty bảo hiểm có thể chấm dứt hợp đồng mà không cần thông báo. Bảo hiểm rủi ro cụ thể thuộc phảm vi bảo hiểm đã bắt đầu sẽ tiếp tục nếu không có thỏa thuận khác gia hạn quá thời gian kết thúc đơn bảo hiểm ngỏ cho đến thời điểm thời hạn bảo hiểm thỏa thuận của các rủi ro cụ thể này chấm dứt. Công ty bảo hiểm có thể yêu cầu nộp phí bảo hiểm phải nộp cho đến khi chấm dứt có hiệu lực, nếu chủ hợp đồng bảo hiểm đã thực hiện nghĩa vụ khai báo.</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92. Chấm dứt hợp đồng sau khi xảy ra  sự kiện được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Sau khi xuất hiện sự kiện được bảo hiểm, mỗi bên có thể chấm dứt hợp đồng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Việc chấm dứt sẽ chỉ được phép cho đến khi hết một tháng kể từ khi ký kết các thương thảo liên quan đến bồi thường. Công ty bảo hiểm sẽ tuân thủ thời hạn thông báo trước 1 tháng. Chủ hợp đồng bảo hiểm không được chấm dứt hợp đồng vào một thời điểm muộn hơn thời điểm kết thúc thời gian bảo hiểm hiện tại.</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Trong trường hợp bảo hiểm mưa đá, công ty bảo hiểm chỉ có thể chấm dứt hợp đồng vào cuối thời gian bảo hiểm mà sự kiện bảo hiểm phát sinh. Nếu chủ hợp đồng bảo hiểm chấm dứt hợp đồng vào một thời điểm sớm hơn thời điểm kết thúc thời hạn bảo hiểm đó thì công ty bảo hiểm vẫn có quyền hưởng phí bảo hiểm cho thời hạn bảo hiểm hiện tại.</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96. Chấm dứt hợp đồng sau khi bán</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Công ty bảo hiểm có quyền chấm dứt hợp đồng bảo hiểm đối với bên mua đối tượng được bảo hiểm, tuân thủ thời hạn thông báo một tháng. Quyền chấm dứt hợp đồng sẽ kết thúc nếu nó không được thực hiện trong vòng 1 tháng kể từ khi công ty bảo hiểm biết được việc bán này.</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Bên mua có quyền chấm dứt hợp đồng bảo hiểm ngay hoặc đến cuối thời hạn bảo hiểm hiện tại. Quyền chấm dứt hợp đồng sẽ kết thúc nếu nó không được thực hiện trong vòng 1 tháng kể từ khi mua, trong trường hợp bên mua chưa biết sự tồn tại của một bảo hiểm, trong vòng 1 tháng kể từ khi bên mua biết được.</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Trong trường hợp hợp đồng bảo hiểm được chấm dứt theo tiểu mục (1) hoặc (2), bên bán có nghĩa vụ nộp phí bảo hiểm; bên mua không có trách nhiệm nộp phí bảo hiểm.</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97. Thông báo thông tin chuyển nhượng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Bên bán hoặc bên mua phải thông báo về việc chuyển nhượng cho công ty bảo hiểm ngay. Trường hợp không thông báo, công ty bảo hiểm không có nghĩa vụ chi trả nếu sự kiện được bảo hiểm phát sinh sau 1 tháng kể từ thời điểm công ty bảo hiểm nhận được thông tin thông báo và công ty bảo hiểm không ký kết hợp đồng với bên mua mà đã tồn tại với bên bán.</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Bất kể tiểu mục (1), câu thứ hai, công ty bảo hiểm có nghĩa vụ chi trả nếu đã biết thông tin bán vào thời điểm nhận được thông tin thông báo hoặc nếu vào thời điểm phát sinh sự kiện được bảo hiểm, thời hạn cho công ty bảo hiểm chấm dứt hợp đồng đã hết và bên này không chấm dứt hợp đồng.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111. Chấm dứt hợp đồng sau một sự kiện được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sau khi xuất hiện sự kiện được bảo hiểm, công ty bảo hiểm xác nhận hoặc từ chối sai truy đòi cảu chủ hợp đồng bảo hiểm thì mỗi bên có thể chấm dứt hợp đồng bảo hiểm. Điều này cũng áp dụng nếu công ty bảo hiểm chỉ dẫn chủ hợp đồng bảo hiểm cho phép một tranh chấp pháp lý liên quan đến yêu cầu bồi thường của bên thứ ba.</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Hợp đồng chỉ có thể được chấm dứt trong vòng 1 tháng kể từ khi có xác nhận hoặc từ chối quyền truy đòi hoặc từ khi phán quyết trong tranh chấp pháp lý với bên thứ ba có hiệu lực. Điều 92 (2), câu thứ hai và tiểu mục (3) sẽ áp dụng.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117. Trách nhiệm với bên thứ ba</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xml:space="preserve"> (2) Một tình huống gây ra sự không tồn tại hoặc chấm dứt hợp đồng bảo hiểm sẽ chỉ có hiệu lực đối với bên thứ ba sau 1 tháng kể từ khi công ty bảo hiểm thông báo cho cơ quan thẩm quyền về tình huống này. Điều này cùng áp dụng nếu hợp đồng bảo hiểm kết thúc do hết hạn. Giới hạn thời gian không bắt đầu trước khi hợp đồng bảo hiểm kết thúc. Một tình huống như mô tả ở câu thứ nhất và thứ hai cũng có thể được trích dẫn đối với bên thứ ba nếu trước thời điểm tổn thất phát sinh, cơ quan thẩm quyền nhận được xác nhận về một bảo hiểm mới được mua theo quy định pháp luật liên quan. Các quy định trên của Mục này không áp dụng nếu không có cơ quan thẩm quyền nào được chỉ định nhận thông báo theo câu đầu tiên.</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131. Vi phạm nghĩa vụ khai báo</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Bất kể Điều 19 (2), trong trường hợp vi phạm nghĩa vụ khai báo, việc hủy bỏ của công ty bảo hiểm sẽ được loại trừ; công ty bảo hiểm có thể chấm dứt hợp đồng và từ chối thực hiện trong vòng 1 tháng kể từ khi biết được tình huống không được thông báo hoặc không được thông báo chính xác. Công ty bảo hiểm sẽ vẫn chịu trách nhiệm nếu tình huống không được thông báo hoặc không được thông báo chính xác không phải là nguyên nhân dẫn đến phát sinh sự kiện được rủi ro hoặc phạm vi trách nhiệm.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công ty bảo hiểm từ chối thực hiện, chủ hợp đồng bảo hiểm có thể chấm dứt hợp đồng. Quyền chấm dứt hợp đồng sẽ kết thúc nếu không được thực hiện trong vòng 1 tháng kể từ thời điểm chủ hợp đồng bảo hiểm nhận được quyết định từ chối thực hiện của công ty bảo hiểm.</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166. Công ty bảo hiểm chấm dứt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công ty bảo hiểm chấm dứt hợp đồng bảo hiểm thì bảo hiểm sẽ được chuyển đổi sang một bảo hiểm nộp đủ phí sau khi chấm dứt. Điều 165 áp dụng cho chuyển đổi này.</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Trong trường hợp Điều 38(2), công ty bảo hiểm có trách nhiệm trong phạm vi trách nhiệm của mình nếu bảo hiểm đã được chuyển đổi sang một bảo hiểm nộp đủ phí sau khi xuất hiện sự kiện được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Khi thiết lập một thời hạn thanh toán theo Điều 38 (1), công ty bảo hiểm phải thể hiện rằng, bảo hiểm được chuyển đổi.</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Trong trường hợp bảo hiểm nhân thọ được ký kết bởi người sử dụng lao động nhằm lợi ích nhân viên của mình, công ty bảo hiểm phải thông báo cho người được bảo hiểm bằng văn bản về việc thiết lập thời hạn thanh toán theo Điều 38 (1) và về việc bảo hiểm đang được chuyển đổi và công ty bảo hiểm sẽ cấp cho họ một thời hạn thanh toán không dưới hai tháng.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168. Chủ hợp đồng bảo hiểm chấm dứt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Trường hợp phải trả phí bảo hiểm liên tục, chủ hợp đồng bảo hiểm có thể chấm dứt hợp đồng bảo hiểm tại mọi thời điểm cho đến khi kết thúc thời hạn bảo hiểm hiện tại.</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một bảo hiểm bảo hiểm cho một rủi ro mà công ty bảo hiểm phải chịu trách nhiệm, thì quyền chấm dứt hợp đồng của chủ hợp đồng bảo hiểm cũng áp dụng nếu phí bảo hiểm bao gồm khoản thanh toán một lần.</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Tiểu mục (1) và (2) không áp dụng cho một hợp đồng bảo hiểm được xem là dự phòng hưu trí trong đó chủ hợp đồng bảo hiểm đã đạt được một thỏa thuận không hủy ngang với công ty bảo hiểm rằng, hợp đồng bảo hiểm không thể chi trả thành tiền mặt trước khi chủ hợp đồng bảo hiểm đến tuổi về hưu; giá trị yêu cầu bồi thường không thể chi trả thành tiền mặt vào thời điểm này không được phép vượt quá số tiền nêu ở Điều 12 (2) số 3 của Bộ luật xã hội cuốn II. Tương tự áp dụng tương ứng nếu không thể gắn kèm các yêu cầu bồi thường theo Điều 851c hoặc 851d của Bộ luật tố tụng dân sự.</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Bảo hiểm y tế:</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205. Chủ hợp đồng bảo hiểm chấm dứt hợp đồng</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(1) Ngoại trừ thỏa thuận một thời hạn bảo hiểm tối thiểu cho bảo hiểm viện phí và bảo hiểm chi phí nằm viện hàng ngày, chủ hợp đồng bảo hiểm có thể chấm dứt một hợp đồng bảo hiểm y tế đã được ký kết trong thời gian trên 1 năm cho đến khi kết thúc năm đầu tiên hoặc mỗi năm sau đó, tuân thủ thời hạn thông báo 3 tháng. Chấm dứt này có thể giới hạn ở những người được bảo hiểm hoặc các mức cụ thể.</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(2) Nếu một người được bảo hiểm có nghĩa vụ mua bảo hiểm y tế hoặc bảo hiểm chăm sóc y tế dài hạn theo quy định pháp luật, chủ hợp đồng bảo hiểm có thể chấm dứt hợp đồng bảo hiểm viện phí, bảo hiểm viện phí hàng ngày và bảo hiểm chăm sóc y tế dài hạn cũng như bảo hiểm quyền lợi tương ứng tồn tại hồi tố cho các bảo hiểm này trong vòng 3 tháng kể từ ngày phát sinh nghĩa vụ mua bảo hiểm. Việc chấm dứt hợp đồng sẽ bị vô hiệu nếu chủ hợp đồng bảo hiểm không cung cấp bằng chứng cho công ty bảo hiểm trong vòng 2 tháng về nghĩa vụ mua bảo hiểm kề từ khi công ty bảo hiểm yêu cầu bên này làm vậy bằng văn bản, ngoại trừ chủ hợp đồng bảo hiểm không có trách nhiệm đối với việc lỡ thời hạn này. Nếu chủ hợp đồng bảo hiểm tự tận dụng quyền chấm dứt hợp đồng thì công ty bảo hiểm chỉ có quyền hưởng phí bảo hiểm đến thời điểm đó. Sau đó, chủ hợp đồng bảo hiểm có thể chấm dứt hợp đồng bảo hiểm cho đến cuối tháng mà bên này cung cấp bằng chứng về nghĩa vụ mua bảo hiểm của mình. Quyền hưởng bảo hiểm gia đình theo luật định hoặc quyền nhận trợ cấp chăm sóc y tế không tạm thời đối với công chức phát sinh từ một hợp đồng dịch vụ công hoặc công việc tương tự sẽ tương đương với nghĩa vụ mua bảo hiểm.</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(3) Nếu hợp đồng bảo hiểm quy định rằng, khi chủ hợp đồng bảo hiểm đến một độ tuổi nhất định hoặc khi đáp ứng các điều kiện tiên quyết khác được đề cập trong đó thì phí bảo hiểm cho độ tuổi khác hoặc nhóm độ tuổi khác sẽ áp dụng hoặc phí bảo hiểm được tính toán xem xét đến dự trữ tuổi già, chủ hợp đồng bảo hiểm có thể chấm dứt hợp đồng bảo hiểm liên quan đến người được bảo hiểm bị ảnh hưởng trong vòng 2 tháng kể từ khi thay đổi có hiệu lực từ thời điểm hiệu lực nếu phí bảo hiểm tăng lên.</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(4) Nếu công ty bảo hiểm tăng phí bảo hiểm hoặc giảm một quyền lợi do một điều khoản điều  chỉnh thì chủ hợp đồng bảo hiểm có thể chấm dứt hợp đồng bảo hiểm liên quan đến người được bảo hiểm bị ảnh hưởng trong vòng 2 tháng kể từ khi nhận được thông báo thay đổi có hiệu lực từ thời điểm việc tăng phí bảo hiểm hoặc giảm quyền lợi có hiệu lực.</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(5) Nếu công ty bảo hiểm bảo lưu quyền giới hạn chấm dứt một hợp đồng ở những người được bảo hiểm hoặc các mức cụ thể và bên này tự tận dụng khả năng này, thì chủ hợp đồng bảo hiểm có thể yêu cầu rằng, tỉ lệ còn lại của bảo hiểm bị hủy bỏ trong vòng 2 tuần kể từ khi nhận được thông báo chấm dứt đến thời điểm chấm dứt có hiệu lực. Câu đầu tiên áp dụng tương ứng nếu công ty bảo hiểm tuyên bố hủy bỏ hợp đồng bảo hiểm chỉ đối với những người được bảo hiểm hoặc các mức cụ thể. Trong các trường hợp này, chủ hợp đồng bảo hiểm có thể yêu cầu rằng, hợp đồng được hủy bỏ đến cuối tháng mà bên này nhận được tuyên bố của công ty bảo hiểm.</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(6) Bất kể tiểu mục (1) – (5), chủ hợp đồng bảo hiểm chỉ có thể chấm dứt một bảo hiểm theo Điều 193 (3), câu đầu tiên, nếu bên này ký kết một hợp đồng mới với một công ty bảo hiểm mới cho người được bảo hiểm tuân thủ nghĩa vụ này. Chấm dứt sẽ chỉ có hiệu lực nếu chủ hợp đồng bảo hiểm chứng minh trong vòng 2 tháng kể từ khi tuyên bố chấm dứt rằng, người được bảo hiểm được bảo hiểm bởi một công ty bảo hiểm mới mà không có gián đoạn; nếu thời gian quyết định chấm dứt là hơn 2 tháng kể từ khi tuyên bố chấm dứt thì phải cung cấp bằng chứng đến thời điểm này. </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206. Công ty bảo hiểm chấm dứt hợp đồng</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(1) Mọi chấm dứt bảo hiểm viện phí theo Điều 193 (3), câu đầu tiên, sẽ được công ty bảo hiểm loại trừ. Ngoài điều này, công ty bảo hiểm không thể thông báo chấm dứt theo luật định đối với hợp đồng bảo hiểm viện phí, bảo hiểm viện phí hàng ngày và bảo hiểm chăm sóc y tế dài hạn nếu bảo hiểm có thể thay thế toàn bộ hoặc một phần phạm vi bảo hiểm y tế hoặc bảo hiểm chăm sóc y tế dài hạn được quy định trong hệ thống bảo hiểm xã hội theo luật định. Nó cũng sẽ bị loại trừ đối với bảo hiểm chi phí nằm viện hàng ngày được mua cùng với tổng chi phí bảo hiểm ốm đau. Bất kể câu thứ hai, công ty bảo hiểm có thể chấm dứt một bảo hiểm viện phí hàng ngày mà không có quyền nhận trợ cấp theo luật định cho những khoản đóng góp từ một bên sử dụng lao động cho đến hết mỗi năm dược bảo hiểm trong 3 năm đầu tiên, tuân thủ thời hạn thông báo 3 tháng.</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(2) Nếu, trong trường hợp bảo hiểm chi phí bệnh viện hàng ngày hoặc bảo hiểm viện phí một phần, không đáp ứng các điều kiện tiên quyết theo tiểu mục (1), công ty bảo hiểm chỉ có thể chấm dứt hợp đồng bảo hiểm đến cuối năm bảo hiểm trong vòng 3 năm bảo hiểm đầu tiên. Thông báo chấm dứt là ba tháng.</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(3) Trường hợp bảo hiểm viện phí hoặc bảo hiểm chăm sóc y tế dài hạn bị bên  bảo hiểm chấm dứt hiệu lực do chủ hợp đồng bảo hiểm chậm nộp phí thì người được bảo hiểm sẽ có quyền tuyên bố rằng, hợp đồng bảo hiểm tiếp tục và nên tên người giữ hợp đồng bảo hiểm tương laia, phí bảo hiểm phải được nộp từ thời điểm tiếp tục hợp đồng bảo hiểm. Công ty bảo hiểm phải thông báo cho những người được bảo hiểm bằng văn bản về việc chấm dứt và quyền theo câu đầu tiên. Quyền này sẽ kết thúc 2 tháng kể từ thời điểm người được bảo hiểm biết quyền này.</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(4) Thông báo chấm dứt một hợp đồng bảo hiểm nhóm theo luật định bảo hiểm cho rủi ro ốm đau từ công ty bảo hiểm sẽ được phép nếu người được bảo hiểm có thể tiếp tục bảo hiểm y tế có xem xét đến các quyền có được theo hợp đồng này và dự trữ tuổi già, nếu nó được để qua một bên, theo các điều khoản và điều kiện của hợp đồng cụ thể. Tiểu mục (3), câu thứ hai và thứ ba, áp dụng tương ứng.</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207. Tiếp tục hợp đồng bảo hiểm</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(1) Nếu hợp đồng bảo hiểm kết thúc sau khi chủ hợp đồng bảo hiểm chết, những người được bảo hiểm sẽ có quyền tuyên bố tiếp tục hợp đồng bảo hiểm bằng cách chỉ định chủ hợp đồng bảo hiểm tương lai trong vòng 2 tháng sau khi chủ hợp đồng bảo hiểm này chết.</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(2) Nếu chủ hợp đồng bảo hiểm chấm dứt hợp đồng bảo hiểm tổng thể hoặc cho những người được bảo hiểm cụ thể, tiểu mục (1) sẽ áp dụng tương ứng. Chấm dứt chỉ có hiệu lực nếu người được bảo hiểm biết được việc tuyên bố chấm dứt này. Nếu hợp đồng bị chấm dứt là một hợp đồng bảo hiểm nhóm và không có chủ hợp đồng bảo hiểm mới nào được chỉ định thì những người được bảo hiểm có quyền tiếp tục hợp đồng bảo hiểm, xem xét các quyền có được theo hợp đồng này và dự trữ tuổi già, nếu chúng được để ra một bên, theo các điều khoản và điều kiện giống như hợp đồng cụ thể. Quyền theo câu thứ ba sẽ chấm dứt 2 tháng kể từ thời điểm những người được bảo hiểm biết được quyền này.</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(3) Nếu một người được bảo hiểm di chuyển địa chỉ thường trú của mình đến một quốc gia khác thuộc Liên minh EU hoặc một quốc gia khác là thành viên của Hiệp ước Khu vực kinh tế Châu Âu, thì hợp đồng bảo hiểm sẽ tiếp tục với điều kiện là công ty bảo hiểm chỉ có trách nhiệm lên tới các quyền lợi tối đa phải chi trả như khi địa chỉ thường trú của người này vẫn ở Đức.</w:t>
      </w:r>
    </w:p>
    <w:p w:rsidR="00481301" w:rsidRPr="008354C2" w:rsidRDefault="00481301" w:rsidP="00547EE3">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2.2.4. Pháp</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Bảo hiểm Pháp có các quy định liên quan đến chấm dứt hợp đồng bảo hiểm như sau :</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L113-3</w:t>
      </w:r>
    </w:p>
    <w:p w:rsidR="00481301" w:rsidRPr="008354C2" w:rsidRDefault="00547EE3"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Trong trường hợp không thanh toán phí bảo hiểm hoặc một phần phí bảo hiểm trong vòng mười ngày kể từ ngày đến hạn và bất kể quyền của người được hưởng bảo hiểm  yêu cầu thực hiện hợp đồng, bảo hiểm chỉ có thể được tạm dừng ba mươi ngày sau khi doanh nghiệp bảo hiểm đã được thông báo chính thức. Nếu phí bảo hiểm được thanh toán thành nhiều đợt, việc tạm hoãn bảo hiểm trong trường hợp không thanh toán một đợt phí bảo hiểm sẽ có hiệu lực cho đến khi mãn hạn thời hạn năm nộp phí bảo hiểm. Phí bảo hiểm hoặc đợt phí bảo hiểm trong mọi trường hợp phải được thanh toán tại các cơ sở của doanh nghiệp bảo hiểm sau khi thông báo chính thức đã được gửi tới người được bảo hiểm.</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Doanh nghiệp bảo hiểm được quyền chấm dứt hợp đồng mười ngày sau khi mãn hạn thời hạn ba mươi ngày được đề cập trong đoạn hai của Điều này.</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Hợp đồng mà chưa bị chấm dứt sẽ được phục h</w:t>
      </w:r>
      <w:r w:rsidR="00547EE3" w:rsidRPr="008354C2">
        <w:rPr>
          <w:rFonts w:ascii="Times New Roman" w:hAnsi="Times New Roman" w:cs="Times New Roman"/>
          <w:i/>
          <w:sz w:val="28"/>
          <w:szCs w:val="28"/>
        </w:rPr>
        <w:t>ồ</w:t>
      </w:r>
      <w:r w:rsidRPr="008354C2">
        <w:rPr>
          <w:rFonts w:ascii="Times New Roman" w:hAnsi="Times New Roman" w:cs="Times New Roman"/>
          <w:i/>
          <w:sz w:val="28"/>
          <w:szCs w:val="28"/>
        </w:rPr>
        <w:t>i/tiếp tục trong tương lai kể từ giữa ngày sau khi các khoản phí bảo hiểm chưa trả hoặc trong trường hợp phí bảo hiểm hàng năm phải trả theo đợt, các đợt phí bảo hiểm là đối tượng của thông báo chính thức và những khoản phí đến hạn trong thời hạn đình chỉ cũng như các khoản phí pháp lý và phí nhờ thu đã được thanh toán cho doanh nghiệp bảo hiểm hoặc cho đại diện mà doanh nghiệp bảo hiểm đã chỉ định cho mục đích này.</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Các quy định của các đoạn 2, 4 của Điều này sẽ không áp dụng đối với bảo hiểm nhân thọ.</w:t>
      </w:r>
      <w:r w:rsidR="00547EE3" w:rsidRPr="008354C2">
        <w:rPr>
          <w:rFonts w:ascii="Times New Roman" w:hAnsi="Times New Roman" w:cs="Times New Roman"/>
          <w:i/>
          <w:sz w:val="28"/>
          <w:szCs w:val="28"/>
        </w:rPr>
        <w:t>”</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b/>
          <w:sz w:val="28"/>
          <w:szCs w:val="28"/>
        </w:rPr>
        <w:t>-</w:t>
      </w:r>
      <w:r w:rsidRPr="008354C2">
        <w:rPr>
          <w:rFonts w:ascii="Times New Roman" w:hAnsi="Times New Roman" w:cs="Times New Roman"/>
          <w:sz w:val="28"/>
          <w:szCs w:val="28"/>
        </w:rPr>
        <w:t xml:space="preserve"> Điều L113-4</w:t>
      </w:r>
    </w:p>
    <w:p w:rsidR="00481301" w:rsidRPr="008354C2" w:rsidRDefault="00547EE3"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Trong trường hợp rủi ro của hợp đồng được tăng lên, nếu các trường hợp mới đã được thông báo tại thời điểm ký hoặc gia hạn hợp đồng, doanh nghiệp bảo hiểm sẽ không ký hợp đồng hoặc hành động như vậy để tính toán xem xét tăng phí bảo hiểm cao hơn, doanh nghiệp bảo hiểm được quyền chấm dứt hợp đồng hoặc đề nghị một khoản phí bảo hiểm mới.</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xml:space="preserve">Trong trường hợp thứ nhất, việc chấm dứt sẽ có hiệu lực mười ngày kể từ sau khi có thông báo và doanh nghiệp bảo hiểm khi đó phải bồi hoàn cho người được bảo hiểm đối với phần phí bảo hiểm hoặc khoản đóng góp cho thời gian mà rủi ro không phát sinh. </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xml:space="preserve"> Trong trường hợp thứ hai, nếu người được bảo hiểm không đồng ý với đề xuất của doanh nghiệp bảo hiểm hoặc nếu người được bảo hiểm công khai từ chối hợp đồng mới trong vòng ba mươi ngày kể từ ngày đề xuất, doanh nghiệp bảo hiểm có thể chấm dứt hợp đồng khi kết thúc khoảng thời gian đó với điều kiện là doanh nghiệp bảo hiểm đã thông báo cho người được bảo hiểm về quyền hạn đó bằng cách ghi rõ trong thư đề xuất.</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Tuy nhiên, doanh nghiệp bảo hiểm không được khiếu nại về sự gia tăng rủi ro của hợp đồng bảo hiểm, sau khi doanh nghiệp bảo hiểm đã được thông báo về việc này bất kể được thông báo bằng hình thức nào,  và doanh nghiệp bảo hiểm đã nhất trí tiếp tục bảo hiểm bằng cách tiếp tục chấp nhận phí bảo hiểm hiện tại hoặc thanh toán bồi thường sau tổn thất cho dù bị thua lỗ.</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Trong trường hợp giảm rủi ro trong thời hạn hợp đồng, người được bảo hiểm sẽ được giảm khoản phí bảo hiểm. Nếu doanh nghiệp bảo hiểm không nhất trí về việc này, người được bảo hiểm có thể chấm dứt hợp đồng. Việc chấm dứt sẽ có hiệu lực ba mươi ngày kể từ sau khi thông báo chấm dứt. Doanh nghiệp bảo hiểm khi đó phải bồi hoàn người được bảo hiểm đối với phần phí bảo hiểm hoặc khoản đóng góp trong thời hạn mà rủi ro không phát sinh.</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Doanh nghiệp bảo hiểm phải thông báo cho người được bảo hiểm về các Điều này khi doanh nghiệp bảo hiểm thông báo về sự tăng hoặc giảm rủi ro.</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Các quy định này sẽ không áp dụng đối với bảo hiểm nhân thọ hoặc bảo hiểm y tế khi tình trạng sức khỏe của người được bảo hiểm thay đổi.</w:t>
      </w:r>
      <w:r w:rsidR="00547EE3" w:rsidRPr="008354C2">
        <w:rPr>
          <w:rFonts w:ascii="Times New Roman" w:hAnsi="Times New Roman" w:cs="Times New Roman"/>
          <w:i/>
          <w:sz w:val="28"/>
          <w:szCs w:val="28"/>
        </w:rPr>
        <w:t>”</w:t>
      </w:r>
    </w:p>
    <w:p w:rsidR="00481301" w:rsidRPr="008354C2" w:rsidRDefault="00481301" w:rsidP="00547EE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L113-12</w:t>
      </w:r>
    </w:p>
    <w:p w:rsidR="00481301" w:rsidRPr="008354C2" w:rsidRDefault="00547EE3"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Hợp đồng phải xác định thời hạn có hiệu lực/thời hạn thực hiện của hợp đồng và các điều khoản áp dụng đối với việc chấm dứt hợp đồng.</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xml:space="preserve">Tuy nhiên, người được bảo hiểm sẽ có quyền chấm dứt hợp đồng khi hết thời hạn một năm bằng cách gửi cho doanh nghiệp bảo hiểm một thư bảo đảm ít nhất hai tháng trước ngày mãn hạn/kết thúc thời hạn đó. Doanh nghiệp bảo hiểm cũng có quyền tương tự theo các Điều tương tự. Quy tắc nói trên có thể được miễn trừ đối với hợp đồng bảo hiểm sức khỏe và để bảo hiểm các rủi ro ngoài những rủi ro của những cá nhân. Quyền được chấm dứt hợp đồng mỗi năm phải được ghi rõ trong từng hợp đồng. Thời hạn chấm dứt sẽ bắt đầu từ ngày ghi trên dấu bưu điện. </w:t>
      </w:r>
    </w:p>
    <w:p w:rsidR="00481301" w:rsidRPr="008354C2" w:rsidRDefault="00481301" w:rsidP="00547EE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Các quy định này sẽ không áp dụng đối với bảo hiểm nhân thọ.</w:t>
      </w:r>
      <w:r w:rsidR="00547EE3"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L113-14</w:t>
      </w:r>
    </w:p>
    <w:p w:rsidR="00481301" w:rsidRPr="008354C2" w:rsidRDefault="0055386C"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Bất cứ khi nào người được bảo hiểm đều có quyền yêu cầu chấm dứt, người được bảo hiểm có toàn quyền yêu cầu như vậy bằng cách gửi xác nhận tới trụ sở đăng ký hoặc tới người đại diện của doanh nghiệp bảo hiểm tại khu vực hoặc bằng công cụ tư pháp bổ sung hoặc bằng thư bảo đảm hoặc bằng bất kỳ hình thức nào được quy định trong hợp đồng.</w:t>
      </w:r>
      <w:r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L113-16</w:t>
      </w:r>
    </w:p>
    <w:p w:rsidR="00481301" w:rsidRPr="008354C2" w:rsidRDefault="0055386C"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Trong trường hợp xảy ra một trong các sự kiện sau:</w:t>
      </w:r>
    </w:p>
    <w:p w:rsidR="00481301" w:rsidRPr="008354C2" w:rsidRDefault="0055386C"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 </w:t>
      </w:r>
      <w:r w:rsidR="00481301" w:rsidRPr="008354C2">
        <w:rPr>
          <w:rFonts w:ascii="Times New Roman" w:hAnsi="Times New Roman" w:cs="Times New Roman"/>
          <w:i/>
          <w:sz w:val="28"/>
          <w:szCs w:val="28"/>
        </w:rPr>
        <w:t>thay đổi địa chỉ,</w:t>
      </w:r>
    </w:p>
    <w:p w:rsidR="00481301" w:rsidRPr="008354C2" w:rsidRDefault="0055386C"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 </w:t>
      </w:r>
      <w:r w:rsidR="00481301" w:rsidRPr="008354C2">
        <w:rPr>
          <w:rFonts w:ascii="Times New Roman" w:hAnsi="Times New Roman" w:cs="Times New Roman"/>
          <w:i/>
          <w:sz w:val="28"/>
          <w:szCs w:val="28"/>
        </w:rPr>
        <w:t>thay đổi tình trạng hôn nhân,</w:t>
      </w:r>
    </w:p>
    <w:p w:rsidR="00481301" w:rsidRPr="008354C2" w:rsidRDefault="0055386C"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 </w:t>
      </w:r>
      <w:r w:rsidR="00481301" w:rsidRPr="008354C2">
        <w:rPr>
          <w:rFonts w:ascii="Times New Roman" w:hAnsi="Times New Roman" w:cs="Times New Roman"/>
          <w:i/>
          <w:sz w:val="28"/>
          <w:szCs w:val="28"/>
        </w:rPr>
        <w:t>thay đổi chế độ tài sản của vợ chồng,</w:t>
      </w:r>
    </w:p>
    <w:p w:rsidR="00481301" w:rsidRPr="008354C2" w:rsidRDefault="0055386C"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 </w:t>
      </w:r>
      <w:r w:rsidR="00481301" w:rsidRPr="008354C2">
        <w:rPr>
          <w:rFonts w:ascii="Times New Roman" w:hAnsi="Times New Roman" w:cs="Times New Roman"/>
          <w:i/>
          <w:sz w:val="28"/>
          <w:szCs w:val="28"/>
        </w:rPr>
        <w:t>thay đổi nghề nghiệp,</w:t>
      </w:r>
    </w:p>
    <w:p w:rsidR="00481301" w:rsidRPr="008354C2" w:rsidRDefault="0055386C"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 </w:t>
      </w:r>
      <w:r w:rsidR="00481301" w:rsidRPr="008354C2">
        <w:rPr>
          <w:rFonts w:ascii="Times New Roman" w:hAnsi="Times New Roman" w:cs="Times New Roman"/>
          <w:i/>
          <w:sz w:val="28"/>
          <w:szCs w:val="28"/>
        </w:rPr>
        <w:t>nghỉ hưu hoặc ngừng vĩnh viễn một hoạt động nghề nghiệp,</w:t>
      </w:r>
    </w:p>
    <w:p w:rsidR="00481301" w:rsidRPr="008354C2" w:rsidRDefault="00481301" w:rsidP="00481301">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mỗi bên có thể chấm dứt hợp đồng bảo hiểm khi nó bao gồm các rủi ro liên quan trực tiếp đến điều kiện trước và không có trong điều kiện mới.</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Hợp đông chỉ có thể chấm dứt trong vòng ba tháng sau ngày xảy ra sự kiện.</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Chấm dứt sẽ chỉ có hiệu lực một tháng sau khi bên kia đã nhận được thông báo.</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Doanh nghiệp bảo hiểm phải phải bồi hoàn người được bảo hiểm đối với phần phí bảo hiểm hoặc khoản đóng góp trong thời hạn mà rủi ro không phát sinh. Thời hạn đó sẽ được tính kể từ ngày chấm dứt hợp đồng có hiệu lực.</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Thanh toán bồi thường cho người được bảo hiểm trong các sự kiện chấm dứt nói trên có thể không được thực hiện.</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Các quy định này sẽ không áp dụng đối với bảo hiểm nhân thọ</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L132-20</w:t>
      </w:r>
    </w:p>
    <w:p w:rsidR="00481301" w:rsidRPr="008354C2" w:rsidRDefault="0055386C"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Một doanh nghiệp bảo hiểm hoặc doanh nghiệp tài chính không thể thực hiện hành động yêu cầu thanh toán phí bảo hiểm.</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Khi phí bảo hiểm hoặc một phần phí bảo hiểm không được thanh toán trong vòng mười ngày kể từ ngày đáo hạn, doanh nghiệp bảo hiểm phải gửi cho bên tham gia hợp đồng một thư bảo đảm với nội dung thông báo cho người được bảo hiểm là khi mãn hạn thời hạn bốn mươi ngày kể từ ngày gửi thư nói trên, việc không thanh toán cho doanh nghiệp bảo hiểm hoặc người đại diện được chỉ định của doanh nghiệp bảo hiểm phí bảo hiểm hoặc phần phí bảo hiểm đến hạn trong thời hạn nói trên sẽ dẫn đến hậu quả là việc chấm dứt hợp đồng trong trường hợp không đủ số tiền để bảo hiểm tiếp tục hoặc cắt giảm hợp đồng.</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Việc gửi thư bảo đảm của doanh nghiệp bảo hiểm sẽ yêu cầu thanh toán phí bảo hiểm tại các cơ sở của doanh nghiệp bảo hiểm trong bất kỳ trường hợp nào.</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Việc không thanh toán một khoản đóng góp còn nợ/thiếu theo một hợp đồng cổ phần hóa chỉ bị phạt bằng việc đình chỉ hoặc chấm dứt hợp đồng và trong trường hợp chấm dứt, số tiền bảo hiểm được trả lại mà hợp đồng nói trên đã đạt được phải được cung cấp cho người giữ phiếu/người giữ hợp đồng.</w:t>
      </w:r>
    </w:p>
    <w:p w:rsidR="00481301" w:rsidRPr="008354C2" w:rsidRDefault="00481301" w:rsidP="0055386C">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L172-20</w:t>
      </w:r>
    </w:p>
    <w:p w:rsidR="00481301" w:rsidRPr="008354C2" w:rsidRDefault="0055386C"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Trong trường hợp không thanh toán phí bảo hiểm, doanh nghiệp bảo hiểm có thể đình chỉ hợp đồng bảo hiểm hoặc yêu cầu chấm dứt hợp đồng bảo hiểm.</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Việc đình chỉ hoặc chấm dứt sẽ có hiệu lực trong vòng tám ngày sau khi người được bảo hiểm đã gửi yêu cầu chính thức để thanh toán bằng thư bảo đảm tới địa chỉ mới nhất của người được bảo hiểm mà doanh nghiệp bảo hiểm được biết.</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L191-6</w:t>
      </w:r>
    </w:p>
    <w:p w:rsidR="00481301" w:rsidRPr="008354C2" w:rsidRDefault="0055386C"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481301" w:rsidRPr="008354C2">
        <w:rPr>
          <w:rFonts w:ascii="Times New Roman" w:hAnsi="Times New Roman" w:cs="Times New Roman"/>
          <w:i/>
          <w:sz w:val="28"/>
          <w:szCs w:val="28"/>
        </w:rPr>
        <w:t>Các chủ thể của hợp đồng được quyền chấm dứt hợp đồng sau khi xảy ra tổn thất trong vòng một tháng sau khi kết thúc các đàm phán đối với việc bồi thường.</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Doanh nghiệp bảo hiểm phải thông báo trước một tháng đối với việc chấm dứt hợp đồng bảo hiểm. Doanh nghiệp bảo hiểm phải trả lại phần phí bảo hiểm mà người tham gia bảo hiểm đã thanh toán trước cho thời gian mà không phát sinh rủi ro. Thời hạn nói trên sẽ được tính kể từ ngày có hiệu lực chấm dứt.</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2.2.5. Đài Loan</w:t>
      </w:r>
    </w:p>
    <w:p w:rsidR="00481301" w:rsidRPr="008354C2" w:rsidRDefault="00481301" w:rsidP="0055386C">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Bảo hiểm Đài Loan cũng có quy định liên quan đến chấm dứt hợp đồng bảo hiểm như sau:</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24</w:t>
      </w:r>
      <w:r w:rsidR="0055386C" w:rsidRPr="008354C2">
        <w:rPr>
          <w:rFonts w:ascii="Times New Roman" w:hAnsi="Times New Roman" w:cs="Times New Roman"/>
          <w:sz w:val="28"/>
          <w:szCs w:val="28"/>
        </w:rPr>
        <w:t>: “</w:t>
      </w:r>
      <w:r w:rsidRPr="008354C2">
        <w:rPr>
          <w:rFonts w:ascii="Times New Roman" w:hAnsi="Times New Roman" w:cs="Times New Roman"/>
          <w:i/>
          <w:sz w:val="28"/>
          <w:szCs w:val="28"/>
        </w:rPr>
        <w:t>Nếu hợp đồng bảo hiểm bị chấm dứt toàn bộ hoặc một phần theo các trường hợp quy định tại Điều 60 hoặc Điều 81, phí bảo hiểm được thu cho giai đoạn sau khi chấm dứt sẽ được hoàn trả, trừ trường hợp phí bảo hiểm không được tính trên cơ sở thời gian.</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26</w:t>
      </w:r>
      <w:r w:rsidR="0055386C" w:rsidRPr="008354C2">
        <w:rPr>
          <w:rFonts w:ascii="Times New Roman" w:hAnsi="Times New Roman" w:cs="Times New Roman"/>
          <w:sz w:val="28"/>
          <w:szCs w:val="28"/>
        </w:rPr>
        <w:t>: “</w:t>
      </w:r>
      <w:r w:rsidRPr="008354C2">
        <w:rPr>
          <w:rFonts w:ascii="Times New Roman" w:hAnsi="Times New Roman" w:cs="Times New Roman"/>
          <w:i/>
          <w:sz w:val="28"/>
          <w:szCs w:val="28"/>
        </w:rPr>
        <w:t>Trường hợp phí bảo hiểm được tính dựa trên các tình huống đặc biệt liên quan đến rủi ro gia tăng theo quy định trong hợp đồng bảo hiểm và các trường hợp không còn tồn tại trong thời hạn hợp đồng, chủ hợp đồng bảo hiểm có thể yêu cầu giảm phí bảo hiểm theo tỷ lệ phí bảo hiểm tại thời điểm hợp đồng được ký kết, để áp dụng kể từ thời điểm hoàn cảnh làm gia tăng rủi ro không còn tồn tại.</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Nếu công ty bảo hiểm không đồng ý giảm phí bảo hiểm như được quy định trong đoạn trên, chủ hợp đồng bảo hiểm có thể chấm dứt hợp đồng và bất kỳ khoản phí bảo hiểm nào được thanh toán cho giai đoạn sau khi chấm dứt hợp đồng sẽ được hoàn trả.</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59</w:t>
      </w:r>
      <w:r w:rsidR="0055386C" w:rsidRPr="008354C2">
        <w:rPr>
          <w:rFonts w:ascii="Times New Roman" w:hAnsi="Times New Roman" w:cs="Times New Roman"/>
          <w:sz w:val="28"/>
          <w:szCs w:val="28"/>
        </w:rPr>
        <w:t>: “</w:t>
      </w:r>
      <w:r w:rsidRPr="008354C2">
        <w:rPr>
          <w:rFonts w:ascii="Times New Roman" w:hAnsi="Times New Roman" w:cs="Times New Roman"/>
          <w:i/>
          <w:sz w:val="28"/>
          <w:szCs w:val="28"/>
        </w:rPr>
        <w:t>Chủ hợp đồng bảo hiểm được yêu cầu thông báo về các tình huống làm tăng rủi ro được nêu trong hợp đồng bảo hiểm cho bên bảo hiểm khi biết về các tình huống đó.</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Nếu sự gia tăng rủi ro là do hành động của chủ hợp đồng bảo hiểm hoặc người được bảo hiểm gây ra, và rủi ro được tăng lên đến mức phí bảo hiểm phải tăng hoặc hợp đồng chấm dứt, chủ hợp đồng bảo hiểm hoặc người được bảo hiểm phải thông báo trước cho hãng bảo hiểm.</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60</w:t>
      </w:r>
      <w:r w:rsidR="0055386C" w:rsidRPr="008354C2">
        <w:rPr>
          <w:rFonts w:ascii="Times New Roman" w:hAnsi="Times New Roman" w:cs="Times New Roman"/>
          <w:i/>
          <w:sz w:val="28"/>
          <w:szCs w:val="28"/>
        </w:rPr>
        <w:t>: “</w:t>
      </w:r>
      <w:r w:rsidRPr="008354C2">
        <w:rPr>
          <w:rFonts w:ascii="Times New Roman" w:hAnsi="Times New Roman" w:cs="Times New Roman"/>
          <w:i/>
          <w:sz w:val="28"/>
          <w:szCs w:val="28"/>
        </w:rPr>
        <w:t>Trong trường hợp các tình huống được đề cập trong các điều khoản trước, doanh nghiệp bảo hiểm có thể chấm dứt hợp đồng hoặc đề xuất sửa đổi phí bảo hiểm. Nếu chủ hợp đồng bảo hiểm không đồng ý với việc điều chỉnh phí bảo hiểm thì hợp đồng sẽ bị chấm dứt. Tuy nhiên, trong trường hợp hợp đồng bị chấm dứt theo các tình huống nêu tại khoản 2 của điều khoản trên, công ty bảo hiểm cũng có thể yêu cầu bồi thường nếu công ty cũng gánh chịu bất kỳ tổn thất nào.</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Một công ty bảo hiểm mất các quyền được nêu trong đoạn trên nếu tiếp tục chấp nhận phí bảo hiểm sau khi nhận thức được sự gia tăng rủi ro, hoặc trả tiền cho một yêu cầu sau khi xảy ra rủi ro hoặc thể hiện ý định duy trì hợp đồng.</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81</w:t>
      </w:r>
      <w:r w:rsidR="0055386C" w:rsidRPr="008354C2">
        <w:rPr>
          <w:rFonts w:ascii="Times New Roman" w:hAnsi="Times New Roman" w:cs="Times New Roman"/>
          <w:sz w:val="28"/>
          <w:szCs w:val="28"/>
        </w:rPr>
        <w:t>: “</w:t>
      </w:r>
      <w:r w:rsidRPr="008354C2">
        <w:rPr>
          <w:rFonts w:ascii="Times New Roman" w:hAnsi="Times New Roman" w:cs="Times New Roman"/>
          <w:i/>
          <w:sz w:val="28"/>
          <w:szCs w:val="28"/>
        </w:rPr>
        <w:t>Khi một điều gì đó không phải là rủi ro được bảo hiểm được quy định trong hợp đồng bảo hiểm gây ra sự phá hủy hoàn toàn hoặc tổn thất đối tượng được bảo hiểm, hợp đồng bảo hiểm sẽ được chấm dứt.</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82</w:t>
      </w:r>
      <w:r w:rsidR="0055386C" w:rsidRPr="008354C2">
        <w:rPr>
          <w:rFonts w:ascii="Times New Roman" w:hAnsi="Times New Roman" w:cs="Times New Roman"/>
          <w:sz w:val="28"/>
          <w:szCs w:val="28"/>
        </w:rPr>
        <w:t>: “</w:t>
      </w:r>
      <w:r w:rsidRPr="008354C2">
        <w:rPr>
          <w:rFonts w:ascii="Times New Roman" w:hAnsi="Times New Roman" w:cs="Times New Roman"/>
          <w:i/>
          <w:sz w:val="28"/>
          <w:szCs w:val="28"/>
        </w:rPr>
        <w:t>Nếu đối tượng được bảo hiểm duy trì tổn thất một phần, thì cả công ty bảo hiểm và chủ hợp đồng bảo hiểm có quyền chấm dứt hợp đồng. Sau khi chấm dứt, phí bảo hiểm đã trả cho phần không bị ảnh hưởng bởi khoản thiệt hại sẽ được hoàn lại.</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Quyền chấm dứt hợp đồng như đã nêu trong đoạn trên sẽ bị chấm dứt nếu không được thực hiện trong vòng một tháng sau khi được bồi thường.</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Doanh nghiệp bảo hiểm phải thông báo cho chủ hợp đồng mười lăm ngày trước khi chấm dứt hợp đồng.</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Nếu cả chủ hợp đồng bảo hiểm hay công ty bảo hiểm đều không chấm dứt hợp đồng, thì trách nhiệm của doanh nghiệp bảo hiểm đối với bất kỳ tổn thất nào trong tương lai do các rủi ro được bảo hiểm sẽ được giới hạn trong số dư của số tiền được bảo hiểm sau khi bồi thường, trừ khi được quy định khác trong hợp đồng.</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97</w:t>
      </w:r>
      <w:r w:rsidR="0055386C" w:rsidRPr="008354C2">
        <w:rPr>
          <w:rFonts w:ascii="Times New Roman" w:hAnsi="Times New Roman" w:cs="Times New Roman"/>
          <w:sz w:val="28"/>
          <w:szCs w:val="28"/>
        </w:rPr>
        <w:t>: “</w:t>
      </w:r>
      <w:r w:rsidRPr="008354C2">
        <w:rPr>
          <w:rFonts w:ascii="Times New Roman" w:hAnsi="Times New Roman" w:cs="Times New Roman"/>
          <w:i/>
          <w:sz w:val="28"/>
          <w:szCs w:val="28"/>
        </w:rPr>
        <w:t>Doanh nghiệp bảo hiểm có quyền kiểm tra đối tượng được bảo hiểm bất kỳ lúc nào. Nếu công ty bảo hiểm phát hiện ra rằng toàn bộ hoặc một phần của đối tượng được bảo hiểm đang trong tình trạng bất thường, công ty bảo hiểm có quyền đề nghị chủ hợp đồng bảo hiểm hoặc người được bảo hiểm nên sửa chữa đối tượng được bảo hiểm trước khi sử dụng tiếp. Nếu chủ hợp đồng bảo hiểm hoặc người được bảo hiểm từ chối đề nghị, doanh nghiệp bảo hiểm có thể chấm dứt hợp đồng bảo hiểm hoặc chấm dứt bảo hiểm cho các bộ phận liên quan bằng văn bản thông báo.</w:t>
      </w:r>
      <w:r w:rsidR="0055386C" w:rsidRPr="008354C2">
        <w:rPr>
          <w:rFonts w:ascii="Times New Roman" w:hAnsi="Times New Roman" w:cs="Times New Roman"/>
          <w:i/>
          <w:sz w:val="28"/>
          <w:szCs w:val="28"/>
        </w:rPr>
        <w:t>”</w:t>
      </w:r>
    </w:p>
    <w:p w:rsidR="00481301"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119</w:t>
      </w:r>
      <w:r w:rsidR="0055386C" w:rsidRPr="008354C2">
        <w:rPr>
          <w:rFonts w:ascii="Times New Roman" w:hAnsi="Times New Roman" w:cs="Times New Roman"/>
          <w:sz w:val="28"/>
          <w:szCs w:val="28"/>
        </w:rPr>
        <w:t>: “</w:t>
      </w:r>
      <w:r w:rsidRPr="008354C2">
        <w:rPr>
          <w:rFonts w:ascii="Times New Roman" w:hAnsi="Times New Roman" w:cs="Times New Roman"/>
          <w:i/>
          <w:sz w:val="28"/>
          <w:szCs w:val="28"/>
        </w:rPr>
        <w:t>Nếu chủ hợp đồng bảo hiểm chấm dứt hợp đồng bảo hiểm đã được trả phí bảo hiểm từ một năm trở lên, thì doanh nghiệp bảo hiểm sẽ thanh toán giá trị hoàn trả trong vòng một tháng kể từ khi nhận được thông báo đó. Số tiền đó có thể không dưới ba phần tư của giá trị không hoàn lại mà chủ hợp đồng bảo hiểm được quyền nhận.</w:t>
      </w:r>
    </w:p>
    <w:p w:rsidR="00A109B7" w:rsidRPr="008354C2" w:rsidRDefault="00481301" w:rsidP="0055386C">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Điều kiện và số tiền thanh toán giá trị hoàn lại được quy định cụ thể trong hợp đồng bảo hiểm.</w:t>
      </w:r>
      <w:r w:rsidR="0055386C" w:rsidRPr="008354C2">
        <w:rPr>
          <w:rFonts w:ascii="Times New Roman" w:hAnsi="Times New Roman" w:cs="Times New Roman"/>
          <w:i/>
          <w:sz w:val="28"/>
          <w:szCs w:val="28"/>
        </w:rPr>
        <w:t>”</w:t>
      </w:r>
    </w:p>
    <w:p w:rsidR="00C903F7" w:rsidRPr="008354C2" w:rsidRDefault="00C903F7" w:rsidP="003C0B9F">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2.3. Quy định về hủy bỏ hợp đồng</w:t>
      </w:r>
    </w:p>
    <w:p w:rsidR="00C903F7" w:rsidRPr="008354C2" w:rsidRDefault="00C903F7" w:rsidP="003C0B9F">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2.3.1. Trung Quốc</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Ở Trung Quốc, hợp đồng vô hiệu và mất hiệu lực không được quy định trước, mặc dù việc hủy bỏ hợp đồng được quy định trong trường hợp lừa dối. Theo quy định tại Điều 16:</w:t>
      </w:r>
      <w:r w:rsidR="003C0B9F" w:rsidRPr="008354C2">
        <w:rPr>
          <w:rFonts w:ascii="Times New Roman" w:hAnsi="Times New Roman" w:cs="Times New Roman"/>
          <w:sz w:val="28"/>
          <w:szCs w:val="28"/>
        </w:rPr>
        <w:t xml:space="preserve"> “</w:t>
      </w:r>
      <w:r w:rsidRPr="008354C2">
        <w:rPr>
          <w:rFonts w:ascii="Times New Roman" w:hAnsi="Times New Roman" w:cs="Times New Roman"/>
          <w:i/>
          <w:sz w:val="28"/>
          <w:szCs w:val="28"/>
        </w:rPr>
        <w:t>Khi giao kết hợp đồng bảo hiểm, chủ hợp đồng phải khai báo trung thực khi doanh nghiệp bảo hiểm hỏi về đối tượng được bảo hiểm hoặc các trường hợp liên quan đến người được bảo hiểm.</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Công ty bảo hiểm có quyền hủy bỏ hợp đồng bảo hiểm nếu chủ hợp đồng không thực hiện nghĩa vụ khai báo trung thực do cố ý hoặc do sơ suất nghiêm trọng, do đó ảnh hưởng nghiêm trọng đến việc doanh nghiệp bảo hiểm đưa ra quyết định có cung cấp bảo hiểm hay không hoặc có tăng tỷ lệ phí bảo hiểm hay không.</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Quyền hủy bỏ hợp đồng bảo hiểm theo quy định tại khoản trên sẽ bị hủy bỏ sau 30 ngày trở lên, kể từ ngày doanh nghiệp bảo hiểm biết được nguyên nhân hủy bỏ hợp đồng bảo hiểm. Sau hai năm trở lên, kể từ ngày giao kết hợp đồng bảo hiểm, doanh nghiệp bảo hiểm không được hủy bỏ hợp đồng bảo hiểm. Trong trường hợp xảy ra sự cố thuộc phạm vi bảo hiểm, doanh nghiệp bảo hiểm vẫn phải chịu nghĩa vụ bồi thường bảo hiểm hoặc trả tiền bảo hiểm.</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Nếu một chủ hợp đồng cố ý không thực hiện nghĩa vụ của mình trong việc khai báo trung thực, công ty bảo hiểm sẽ không có nghĩa vụ bồi thường bảo hiểm hoặc trả tiền bảo hiểm liên quan đến sự kiện được bảo hiểm xảy ra trước khi hủy bỏ hợp đồng hoặc trả lại phí bảo hiểm đã trả.</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Nếu chủ hợp đồng bảo hiểm không thực hiện nghĩa vụ khai báo trung thực do sơ suất nghiêm trọng, có ảnh hưởng nghiêm trọng đến việc xảy ra sự kiện thuộc phạm vi bảo hiểm, công ty bảo hiểm sẽ không có nghĩa vụ bồi thường bảo hiểm hoặc trả tiền bảo hiểm đối với các sự kiện bảo hiểm xảy ra trước khi hợp đồng bảo hiểm bị hủy bỏ nhưng sẽ phải trả lại phí bảo hiểm đã đóng.</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Trường hợp doanh nghiệp bảo hiểm biết sự thật mà chủ hợp đồng không nói rõ, doanh nghiệp bảo hiểm vẫn tiếp tục giao kết hợp đồng bảo hiểm với chủ hợp đồng thì doanh nghiệp bảo hiểm không được hủy bỏ hợp đồng. Trường hợp xảy ra sự kiện thuộc phạm vi bảo hiểm, doanh nghiệp bảo hiểm phải chịu nghĩa vụ bồi thường hoặc chi trả quyền lợi bảo hiểm.</w:t>
      </w:r>
      <w:r w:rsidR="003C0B9F" w:rsidRPr="008354C2">
        <w:rPr>
          <w:rFonts w:ascii="Times New Roman" w:hAnsi="Times New Roman" w:cs="Times New Roman"/>
          <w:i/>
          <w:sz w:val="28"/>
          <w:szCs w:val="28"/>
        </w:rPr>
        <w:t>”</w:t>
      </w:r>
    </w:p>
    <w:p w:rsidR="00C903F7" w:rsidRPr="008354C2" w:rsidRDefault="00C903F7" w:rsidP="003C0B9F">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2.3.2. Đức</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Các quy định liên quan đến hủy bỏ hợp đồng bảo hiểm tại Luật Hợp đồng bảo hiểm Đức như sau:</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w:t>
      </w:r>
      <w:r w:rsidR="003C0B9F" w:rsidRPr="008354C2">
        <w:rPr>
          <w:rFonts w:ascii="Times New Roman" w:hAnsi="Times New Roman" w:cs="Times New Roman"/>
          <w:sz w:val="28"/>
          <w:szCs w:val="28"/>
        </w:rPr>
        <w:t xml:space="preserve">u 8. </w:t>
      </w:r>
      <w:r w:rsidRPr="008354C2">
        <w:rPr>
          <w:rFonts w:ascii="Times New Roman" w:hAnsi="Times New Roman" w:cs="Times New Roman"/>
          <w:sz w:val="28"/>
          <w:szCs w:val="28"/>
        </w:rPr>
        <w:t>Quyền hủy bỏ của chủ hợp đồng bảo hiểm</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chủ hợp đồng bảo hiểm có thể hủy bỏ hợp đồng trong vòng 14 ngày. Chủ hợp đồng bảo hiểm thông báo cho công ty bảo hiểm bằng văn bản nhưng không cần nêu rõ lý do; việc thông báo kịp thời sẽ được xem là tuân thủ thời hạn.</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Thời hạn hủy bỏ sẽ bắt đầu tại thời điểm chủ hợp đồng bảo hiểm nhận được các văn bản sau:</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1. Hợp đồng bảo hiểm và các điều khoản hợp đồng bao gồm điều khoản và điều kiện bảo hiểm chung cũng như các thông tin khác theo Điều 7 (1) và (2) và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2. Một văn bản hướng dẫn  cụ thể liên quan đến quyền hủy bỏ và các hậu quả pháp lý của việc hủy bỏ, cảnh báochủ hợp đồng bảo hiểm rằng,, các quyền của chủ hợp đồng bảo hiểm tương xứng với các yêu cầu về phương thức thông báo tên của cá nhân nhận được thông báo hủy bỏ kèm theo địa chỉ có thể gửi thông báo cũng như một ghi chú tham chiếu đến thời gian bắt đầu thời hạn hủy bỏ và các quy tắc được nêu ở câu thứ hai trong tiểu mục (1).</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Việc chứng minh nhận được các văn bản theo yêu cầu đầu tiên sẽ thuộc trách nhiệm của công ty bảo hiểm.</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Quyền hủy bỏ không được áp dụng</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1. cho các hợp đồng bảo hiểm có thời hạn dưới 1 tháng.</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2. cho các hợp đồng bảo hiểm tạm thời, trừ phi  các hợp đồng còn nhiều tháng nữa mới đáohạn trong phạm vi ý nghĩa của Điều 312c của Bộ luật dân sự của CHLB Đức.</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3. cho các hợp đồng bảo hiểm hưu trí dựa trên các quy định trong hợp đồng lao động, trừ phi các hợp đồng còn nhiều tháng nữa mới đáo hạn trong phạm vi ý nghĩa của Điều 312c của Bộ luật dân sự của CHLB Đức.</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4. cho các hợp đồng bảo hiểm  rủi ro lớn trong phạm vi ý nghĩa của muc 210 (2).</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Quyền hủy bỏ sẽ không được áp dụng nếu hợp đồng được cả hai bên thực hiên toàn bộ theo yêu cầu rõ ràng của chủ hợp đồng bảo hiểm trước khi chủ hợp đồng bảo hiểm thực hiện quyền hủy bỏ của mình.</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Câu đầu tiên trong tiểu mục (2) có thể không được áp dụng nếu thời hạn hủy bỏ trong thương mại điện tử chưa được xác định cho dến khi các nghĩa vụ nêu ở muc 312i (1), câu đầu tiên của Bộ luật dân sự của CHLB Đức được thực hiện.</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(5) Hướng dẫn theo tiểu mục (2), câu đầu tiên, số 2 sẽ được xem là đáp ứng các yêu cầu nếu mẫu Phụ lục kèm theo Luật này được sử dụng dưới dạng văn bản. Công ty bảo hiểm có thể làm mẫu khác định dạng và cỡ chữ, theo tiểu mục (2), câu đầu tiên, số 2 và có thể chèn thêm phụ lục như tên hãng hoặc một ký hiệu của mình.</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9. Hậu quả pháp lý của việc hủy bỏ</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chủ hợp đồng bảo hiểm thực hiện quyền hủy bỏ theo Điều 8(1) , công ty bảo hiểm chỉ có nghĩa vụ hòan trả số phí bảo hiểm đã thu trong khoảng thời gian kể từ khi nhận được yêu cầu hủy bỏ nếu chủ hợp đồng bảo hiểm làm theo hướng dẫn trong Điều 8 (2), câu đầu tiên, số 2, về quyền hủy bỏ của mình, hậu quả pháp lý của việc hủy bỏ và số tiền  phải nộp và chủ hợp đồng bảo hiểm đồng ý  bắt đầu bảo hiểm trước khi kết thúc thời hạn hủy bỏ; nghĩa vụ hoàn tiền sẽ được thực hiện ngay tức thì, chậm nhất là 30 ngày sau khi nhận được yêu cầu hủy bỏ. Nếu không có ghi chú nào theo câu đầu tiên, thì công ty bảo hiểm sẽ hoàn trả phí bảo hiểm đã thu cho năm bảo hiểm đầu tiên; điều này không áp dụng nếu chủ hợp đồng bảo hiểm đòi quyền lợi trên cơ sở Hợp đồng bảo hiểm này.</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chủ hợp đồng bảo hiểm đã thực hiện quyền hủy bỏ của mình theo Điều 8 thì chủ hợp đồng bảo hiểm không còn ràng buộc với hợp đồng liên kết hợp đồng bảo hiểm này. Một hợp đồng liên kết sẽ được xem là tồn tại nếu liên quan đến hợp đồng bị hủy bỏ và liên quan đến một dịch vụ của công ty bảo hiểm hoặc của một bên thứ ba trên cơ sở thỏa thuận giữa bên thứ ba và công ty bảo hiểm. Không được phép thỏa thuận hoặc yêu cầu phạt trên hợp đồng liên kết này.</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19. Nghĩa vụ khai báo</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Chủ hợp đồng bảo hiểm phải khai báo với công ty bảo hiểm trước khi thông báo chấp nhận hợp đồng về các yếu tố rủi ro mà chủ hợp đồng bảo hiểm biết được, liên quan đến quyết định ký kết hợp đồng của công ty bảo hiểm với nội dung đã thỏa thuận và công ty bảo hiểm đã yêu cầu bằng văn bản. Nếu, sau khi nhận được thông báo chấp nhận hợp đồng của chủ hợp đồng bảo hiểm và trước khi chấp nhận hợp đồng, công ty bảo hiểm đưa ra các câu hỏi  như đề cập ở câu đầu tiên, thì chủ hợp đồng bảo hiểm cũng có nghĩa vụ trả lời  những câu hỏi này.</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chủ hợp đồng bảo hiểm vi phạm nghĩa vụ khai báo theo tiểu mục (1) thì công ty bảo hiểm có thể hủy hợp đồng.</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152. Chủ hợp đồng bảo hiểm hủy hợp đồng</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Bất kể Điều 8(1), câu đầu tiên, giới hạn thời gian hủy bỏ sẽ là 30 ngày.</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Bất kể Điều 9, câu đầu tiên, công ty bảo hiểm cũng phải trả giá trị giải ước cộng với tỉ lệ dư thừa theo Điều 169. Trong trường hợp Điều 9, câu thứ hai, công ty bảo hiểm phải bồi hoàn giá trị giải ước cộng với tỉ lệ dư thừa hoặc, nếu điều này có lợi hơn cho chủ hợp đồng bảo hiểm, phí bảo hiểm đã nộp cho năm đầu tiên.</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169. Giá trị giải ước</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Nếu một bảo hiểm cung cấp phạm vi bảo hiểm cho một rủi ro mà công ty bảo hiểm có trách nhiệm và thỏa thuận bảo hiểm được hủy bỏ do chủ hợp đồng bảo hiểm chấm dứt hợp đồng hoặc do công ty bảo hiểm chấm dứt hoặc hủy bỏ hợp đồng bảo hiểm, thì công ty bảo hiểm phải chi trả giá trị giải ước.</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Giá trị giải ước sẽ chỉ được chi trả nếu giá trị này không vượt quá khoản tiền chi trả khi xuất hiện sự kiện được bảo hiểm khi hợp đồng được chấm dứt. Tỉ lệ giá trị giải ước chưa chi trả sau thời điểm này sẽ được sử dụng cho bảo hiểm nộp đủ phí. Trong trường hợp hủy bỏ hợp đồng, toàn bộ giá trị giải ước sẽ được chi trả.</w:t>
      </w:r>
    </w:p>
    <w:p w:rsidR="00C903F7" w:rsidRPr="008354C2" w:rsidRDefault="00C903F7" w:rsidP="003C0B9F">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w:t>
      </w:r>
      <w:r w:rsidR="00AD54CB" w:rsidRPr="008354C2">
        <w:rPr>
          <w:rFonts w:ascii="Times New Roman" w:hAnsi="Times New Roman" w:cs="Times New Roman"/>
          <w:b/>
          <w:sz w:val="28"/>
          <w:szCs w:val="28"/>
        </w:rPr>
        <w:t>3</w:t>
      </w:r>
      <w:r w:rsidRPr="008354C2">
        <w:rPr>
          <w:rFonts w:ascii="Times New Roman" w:hAnsi="Times New Roman" w:cs="Times New Roman"/>
          <w:b/>
          <w:sz w:val="28"/>
          <w:szCs w:val="28"/>
        </w:rPr>
        <w:t>.3. Úc</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Hợp đồng bảo hiểm của Úc có quy định về hủy bỏ hợp đồng bảo hiểm tại một số điều khoản như sau:</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28. Bảo hiểm phi nhân thọ</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việc không khai báo thông tin hoặc kê khai sai là cố tình thì công ty bảo hiểm có thể hủy hợp đồng.</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công ty bảo hiểm không được quyền hủy hợp đồng hoặc được quyền hủy hợp đồng nhưng lại không làm vậy (cho dù có theo quy định tại tiểu mục 2 hay không), thì số tiền bồi thường mà công ty bảo hiểm phải chi trả cho yêu cầu bồi thường sẽ giảm tương ứng theo vị thế của công ty bảo hiểm như khi không phát sinh việc kê khai sai hoặc không có hành vi che giấu thông tin. yêu cầu bồi thường.</w:t>
      </w:r>
    </w:p>
    <w:p w:rsidR="00C903F7" w:rsidRPr="008354C2" w:rsidRDefault="00C903F7" w:rsidP="003C0B9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29. Bảo hiểm nhân thọ</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Công ty bảo hiểm có thể hủy hợp đồng</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việc không khai báo thông tin hoặc kê khai sai là cố tình thì công ty bảo hiểm có thể tuyên hợp đồng vô hiệu.</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việc không khai báo thông tin hoặc kê khai sai không phải là cố tình, thì công ty bảo hiểm có thể, trong vòng 3 năm sau khi hợp đồng được ký kết, hủy hợp đồng.</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Nếu công ty bảo hiểm không hủy được hợp đồng, theo tiểu mục (2) hoặc (3) hay không, công ty bảo hiểm có thể thông báo bằng văn bản cho người được bảo hiểm, sửa đổi hợp đồng bằng cách thay thế cho số tiền được bảo hiểm (bao gồm cả hoa hồng) một khoản tiền không nhỏ hơn số tiền được xác định theo công thức: SP/Q</w:t>
      </w:r>
    </w:p>
    <w:p w:rsidR="00C903F7" w:rsidRPr="008354C2" w:rsidRDefault="00C903F7" w:rsidP="003C0B9F">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Trong đó:</w:t>
      </w:r>
    </w:p>
    <w:p w:rsidR="00C903F7" w:rsidRPr="008354C2" w:rsidRDefault="00C903F7" w:rsidP="00D648A1">
      <w:pPr>
        <w:pStyle w:val="ListParagraph"/>
        <w:numPr>
          <w:ilvl w:val="0"/>
          <w:numId w:val="2"/>
        </w:numPr>
        <w:tabs>
          <w:tab w:val="left" w:pos="1080"/>
        </w:tabs>
        <w:spacing w:before="120" w:after="120"/>
        <w:ind w:hanging="720"/>
        <w:jc w:val="both"/>
        <w:rPr>
          <w:rFonts w:ascii="Times New Roman" w:hAnsi="Times New Roman" w:cs="Times New Roman"/>
          <w:i/>
          <w:sz w:val="28"/>
          <w:szCs w:val="28"/>
        </w:rPr>
      </w:pPr>
      <w:r w:rsidRPr="008354C2">
        <w:rPr>
          <w:rFonts w:ascii="Times New Roman" w:hAnsi="Times New Roman" w:cs="Times New Roman"/>
          <w:i/>
          <w:sz w:val="28"/>
          <w:szCs w:val="28"/>
        </w:rPr>
        <w:t>S là số tiền được bảo hiểm (bao gồm cả hoa hồng).</w:t>
      </w:r>
    </w:p>
    <w:p w:rsidR="00C903F7" w:rsidRPr="008354C2" w:rsidRDefault="00C903F7" w:rsidP="00D648A1">
      <w:pPr>
        <w:pStyle w:val="ListParagraph"/>
        <w:numPr>
          <w:ilvl w:val="0"/>
          <w:numId w:val="2"/>
        </w:numPr>
        <w:spacing w:before="120" w:after="120"/>
        <w:ind w:left="1080"/>
        <w:jc w:val="both"/>
        <w:rPr>
          <w:rFonts w:ascii="Times New Roman" w:hAnsi="Times New Roman" w:cs="Times New Roman"/>
          <w:i/>
          <w:sz w:val="28"/>
          <w:szCs w:val="28"/>
        </w:rPr>
      </w:pPr>
      <w:r w:rsidRPr="008354C2">
        <w:rPr>
          <w:rFonts w:ascii="Times New Roman" w:hAnsi="Times New Roman" w:cs="Times New Roman"/>
          <w:i/>
          <w:sz w:val="28"/>
          <w:szCs w:val="28"/>
        </w:rPr>
        <w:t>P là số phí bảo hiểm hoặc tổng số phí bảo hiểm phải thanh toán theo hợp đồng; và</w:t>
      </w:r>
    </w:p>
    <w:p w:rsidR="00C903F7" w:rsidRPr="008354C2" w:rsidRDefault="00C903F7" w:rsidP="00D648A1">
      <w:pPr>
        <w:pStyle w:val="ListParagraph"/>
        <w:numPr>
          <w:ilvl w:val="0"/>
          <w:numId w:val="2"/>
        </w:numPr>
        <w:spacing w:before="120" w:after="120"/>
        <w:ind w:left="1080"/>
        <w:jc w:val="both"/>
        <w:rPr>
          <w:rFonts w:ascii="Times New Roman" w:hAnsi="Times New Roman" w:cs="Times New Roman"/>
          <w:i/>
          <w:sz w:val="28"/>
          <w:szCs w:val="28"/>
        </w:rPr>
      </w:pPr>
      <w:r w:rsidRPr="008354C2">
        <w:rPr>
          <w:rFonts w:ascii="Times New Roman" w:hAnsi="Times New Roman" w:cs="Times New Roman"/>
          <w:i/>
          <w:sz w:val="28"/>
          <w:szCs w:val="28"/>
        </w:rPr>
        <w:t>Q là số phí bảo hiểm hoặc tổng số phí bảo hiểm mà công ty bảo hiểm sẽ thu nếu nghĩa vụ khai báo được tuân thủ hoặc không có  kê khai sai.</w:t>
      </w:r>
    </w:p>
    <w:p w:rsidR="00C903F7" w:rsidRPr="008354C2" w:rsidRDefault="00C903F7" w:rsidP="00CD113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59. Quy trình hủy</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Công ty bảo hiểm muốn thực hiện quyền hủy hợp đồng bảo hiểm phải thông báo bằng văn bản về đề xuất hủy cho người được bảo hiểm.</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Thông báo có hiệu lực hủy bỏ hợp đồng vào bất kỳ thời điểm nào sau đây, tùy thời điểm nào đến trước:</w:t>
      </w:r>
    </w:p>
    <w:p w:rsidR="00C903F7" w:rsidRPr="008354C2" w:rsidRDefault="00CD1133"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(a) </w:t>
      </w:r>
      <w:r w:rsidR="00C903F7" w:rsidRPr="008354C2">
        <w:rPr>
          <w:rFonts w:ascii="Times New Roman" w:hAnsi="Times New Roman" w:cs="Times New Roman"/>
          <w:i/>
          <w:sz w:val="28"/>
          <w:szCs w:val="28"/>
        </w:rPr>
        <w:t>thời điểm khi một hợp đồng bảo hiểm khác giữa người được bảo hiểm và công ty bảo hiểm hoặc một công ty bảo hiểm khác, là hợp đồng do người được bảo hiểm dự định thay thế hợp đồng được đề cập đầu tiên, được ký kết;</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tùy theo thời điểm nào sau đây đến sau:</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(i) 4 giờ chiều vào ngày làm việc được áp dụng;</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(ii) thời điểm được xác định cho mục đích trong hợp đồng, nếu có;</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(iii) thời điểm xác định trong thông báo, nếu có.  </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(2A) Trong khoản (2) (b) (i):</w:t>
      </w:r>
      <w:r w:rsidR="00CD1133" w:rsidRPr="008354C2">
        <w:rPr>
          <w:rFonts w:ascii="Times New Roman" w:hAnsi="Times New Roman" w:cs="Times New Roman"/>
          <w:i/>
          <w:sz w:val="28"/>
          <w:szCs w:val="28"/>
        </w:rPr>
        <w:t xml:space="preserve"> </w:t>
      </w:r>
      <w:r w:rsidRPr="008354C2">
        <w:rPr>
          <w:rFonts w:ascii="Times New Roman" w:hAnsi="Times New Roman" w:cs="Times New Roman"/>
          <w:i/>
          <w:sz w:val="28"/>
          <w:szCs w:val="28"/>
        </w:rPr>
        <w:t>ngày làm việc áp dụng có nghĩa là: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 xml:space="preserve">(a) đối với hợp đồng không phải là hợp đồng bảo hiểm nhân thọ:  </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(i) nếu hợp đồng có hiệu lực theo Điều 58 - ngày làm việc thứ 14; hoặc là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(ii) nếu không, ngày làm việc thứ ba; hoặc là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đối với hợp đồng bảo hiểm nhân thọ - ngày làm việc thứ hai mươi;</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sau ngày thông báo được trao cho người được bảo hiểm.</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Phần này không áp dụng cho hợp đồng bảo hiểm nhân thọ nếu hợp đồng bảo hiểm nhân thọ được cấu thành bởi hợp đồng có thể bị thu hồi, hủy bỏ theo tiểu mục 210 (5) của Luật Bảo hiểm Nhân thọ 1995.</w:t>
      </w:r>
    </w:p>
    <w:p w:rsidR="00C903F7" w:rsidRPr="008354C2" w:rsidRDefault="00C903F7" w:rsidP="00CD113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59A. Hủy hợp đồng bảo hiểm nhân thọ</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Công ty bảo hiểm theo hợp đồng bảo hiểm nhân thọ (hợp đồng đầu tiên) có thể hủy hợp đồng nếu người được bảo hiểm đã đưa ra Yêu cầu bồi thường gian lận:</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theo hợp đồng đầu tiên; hoặc là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theo một hợp đồng bảo hiểm khác với công ty bảo hiểm cung cấp bảo hiểm trong bất kỳ phần nào của giai đoạn bảo hiểm của hợp đồng đầu tiên.</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Nếu một công ty bảo hiểm đã hủy bỏ hợp đồng bảo hiểm nhân thọ theo tiểu mục (1) vì Yêu cầu bồi thường gian lận của người được bảo hiểm theo hợp đồng đó, thì trong mọi thủ tục tố tụng liên quan đến yêu cầu bồi thường, tòa án có thể, vì sự công tâm:</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bỏ qua việc hủy hợp đồng; và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yêu cầu công ty bảo hiểm thanh toán, liên quan đến yêu cầu bồi thường, số tiền đó (nếu có) khi tòa án xem xét tính công bằng và hợp lý của hoàn cảnh; và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(c) yêu cầu công ty bảo hiểm khôi phục hợp đồng.</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một công ty bảo hiểm đã hủy bỏ hợp đồng bảo hiểm nhân thọ (hợp đồng bị hủy) theo tiểu mục (1) vì Yêu cầu bồi thường gian lận của người được bảo hiểm theo hợp đồng bảo hiểm khác với công ty bảo hiểm, thì trong bất kỳ thủ tục tố tụng nào liên quan đến yêu cầu bồi thường, tòa án có thể vì sự công tâm:</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yêu cầu cho công ty bảo hiểm thanh toán, liên quan đến yêu cầu bồi thường, số tiền đó (nếu có) khi tòa án xem xét tính công bằng và hợp lý của hoàn cảnh; và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yêu cầu công ty bảo hiểm khôi phục hợp đồng đã hủy.</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Nếu một công ty bảo hiểm đã hủy hợp đồng bảo hiểm nhân thọ theo tiểu mục (1), sau đó, trong bất kỳ thủ tục tố tụng nào liên quan đến việc hủy bỏ, tòa án có thể, vì sự công tâm, yêu cầu công ty bảo hiểm phục hồi hợp đồng. Tiểu mục này không giới hạn, và không bị giới hạn bởi, tiểu mục (2) hoặc (3).</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(5) Trong việc thực hiện quyền hạn quy định tại tiểu mục (2), (3) hoặc (4), tòa án:</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phải xem xét sự cần thiết phải ngăn chặn hành vi gian lận liên quan đến bảo hiểm; và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cũng xem xét đến bất kỳ vấn đề nào khác có liên quan.</w:t>
      </w:r>
    </w:p>
    <w:p w:rsidR="00C903F7" w:rsidRPr="008354C2" w:rsidRDefault="00C903F7" w:rsidP="00CD113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60. Huỷ bỏ hợp đồng bảo hiểm phi nhân thọ</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(1) Trường hợp, liên quan đến hợp đồng bảo hiểm phi nhân thọ:</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một người là hoặc đã là người được bảo hiểm không tuân thủ nghĩa vụ trung thực tuyệt đối;</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một người là người được bảo hiểm tại thời điểm hợp đồng được ký kết không tuân thủ nghĩa vụ khai báo;</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(c) một người là người được bảo hiểm tại thời điểm hợp đồng được ký kết kê khai sai cho bên bảo hiểm trong các cuộc đàm phán hợp đồng nhưng trước khi nó được ký kết;</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(d) một người là hoặc đã là người được bảo hiểm không tuân thủ quy định của hợp đồng, bao gồm cả điều khoản liên quan đến việc thanh toán phí bảo hiểm; hoặc là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(e) người được bảo hiểm đã gian lận trong yêu cầu bồi thường theo hợp đồng hoặc theo hợp đồng bảo hiểm khác (cho dù với công ty bảo hiểm liên quan hoặc với công ty bảo hiểm khác) cung cấp bảo hiểm cùng một phần thời kỳ mà hợp đồng đã đề cập đầu tiên bảo hiểm;</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công ty bảo hiểm có thể hủy hợp đồng.</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Trường hợp:</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một hợp đồng bảo hiểm phi nhân thọ có điều khoản yêu cầu người được bảo hiểm phải thông báo cho công ty bảo hiểm về một hành động cụ thể hoặc thiếu sót của người được bảo hiểm; hoặc là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Hiệu lực hợp đồng là cho phép công ty bảo hiểm từ chối thanh toán một yêu cầu bồi thường, dù là toàn bộ hoặc một phần, vì lý do hành động hoặc thiếu sót của người được bảo hiểm hoặc của người khác;</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và, sau khi hợp đồng được ký kết, một hành động hoặc thiếu sót đã xảy ra, công ty bảo hiểm có thể hủy hợp đồng.</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Hành động hoặc thiếu sót của người được bảo hiểm nêu tại tiểu mục (2) cũng bao gồm hành động hoặc thiếu sót của người được bảo hiểm có tác dụng thay đổi trạng thái hoặc điều kiện của chủ thể của hợp đồng hoặc cho phép trạng thái hoặc điều kiện của chủ thể của hợp đồng thay đổi.</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(4) Trường hợp hợp đồng bảo hiểm là: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(a) một hợp đồng có hiệu lực theo Điều 58; hoặc là</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(b) một hợp đồng bảo hiểm phi nhân thọ tạm thời;</w:t>
      </w:r>
    </w:p>
    <w:p w:rsidR="00C903F7" w:rsidRPr="008354C2" w:rsidRDefault="00C903F7" w:rsidP="003C0B9F">
      <w:pPr>
        <w:spacing w:before="120" w:after="120"/>
        <w:ind w:firstLine="720"/>
        <w:jc w:val="both"/>
        <w:rPr>
          <w:rFonts w:ascii="Times New Roman" w:hAnsi="Times New Roman" w:cs="Times New Roman"/>
          <w:i/>
          <w:sz w:val="28"/>
          <w:szCs w:val="28"/>
        </w:rPr>
      </w:pPr>
      <w:r w:rsidRPr="008354C2">
        <w:rPr>
          <w:rFonts w:ascii="Times New Roman" w:hAnsi="Times New Roman" w:cs="Times New Roman"/>
          <w:i/>
          <w:sz w:val="28"/>
          <w:szCs w:val="28"/>
        </w:rPr>
        <w:t>công ty bảo hiểm có thể hủy hợp đồng bất kỳ lúc nào.</w:t>
      </w:r>
    </w:p>
    <w:p w:rsidR="00C903F7" w:rsidRPr="008354C2" w:rsidRDefault="00C903F7" w:rsidP="00CD1133">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2.3.4. Đài loan</w:t>
      </w:r>
    </w:p>
    <w:p w:rsidR="00C903F7" w:rsidRPr="008354C2" w:rsidRDefault="00C903F7" w:rsidP="00CD1133">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Trong Luật Bảo hiểm Đài Loan có một số quy định liên quan đến hủy bỏ hợp đồng như sau:</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25</w:t>
      </w:r>
      <w:r w:rsidR="00CD1133" w:rsidRPr="008354C2">
        <w:rPr>
          <w:rFonts w:ascii="Times New Roman" w:hAnsi="Times New Roman" w:cs="Times New Roman"/>
          <w:sz w:val="28"/>
          <w:szCs w:val="28"/>
        </w:rPr>
        <w:t>: “</w:t>
      </w:r>
      <w:r w:rsidRPr="008354C2">
        <w:rPr>
          <w:rFonts w:ascii="Times New Roman" w:hAnsi="Times New Roman" w:cs="Times New Roman"/>
          <w:i/>
          <w:sz w:val="28"/>
          <w:szCs w:val="28"/>
        </w:rPr>
        <w:t>Nếu hợp đồng bảo hiểm bị hủy bỏ do các trường hợp được quy định tại khoản 2 Điều 64, thì công ty bảo hiểm không cần hoàn trả phí bảo hiểm đã thu.</w:t>
      </w:r>
      <w:r w:rsidR="00CD1133" w:rsidRPr="008354C2">
        <w:rPr>
          <w:rFonts w:ascii="Times New Roman" w:hAnsi="Times New Roman" w:cs="Times New Roman"/>
          <w:i/>
          <w:sz w:val="28"/>
          <w:szCs w:val="28"/>
        </w:rPr>
        <w:t>”</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64</w:t>
      </w:r>
      <w:r w:rsidR="00CD1133" w:rsidRPr="008354C2">
        <w:rPr>
          <w:rFonts w:ascii="Times New Roman" w:hAnsi="Times New Roman" w:cs="Times New Roman"/>
          <w:sz w:val="28"/>
          <w:szCs w:val="28"/>
        </w:rPr>
        <w:t>: “</w:t>
      </w:r>
      <w:r w:rsidRPr="008354C2">
        <w:rPr>
          <w:rFonts w:ascii="Times New Roman" w:hAnsi="Times New Roman" w:cs="Times New Roman"/>
          <w:i/>
          <w:sz w:val="28"/>
          <w:szCs w:val="28"/>
        </w:rPr>
        <w:t>Vào thời điểm hợp đồng được ký kết, chủ hợp đồng bảo hiểm sẽ đưa ra các khai báo trung thực theo yêu cầu bằng văn bản của doanh nghiệp bảo hiểm.</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Nếu chủ hợp đồng bảo hiểm đã thực hiện bất kỳ việc che giấu, không tiết lộ, hoặc khai báo sai, và việc che giấu, không tiết lộ, hoặc trình bày sai là đủ để thay đổi hoặc giảm bớt sự ước tính của doanh nghiệp bảo hiểm về rủi ro được thực hiện, công ty bảo hiểm có thể hủy bỏ hợp đồng; Trường hợp tương tự sẽ áp dụng sau khi rủi ro xảy ra, với điều kiện điều khoản này không áp dụng khi chủ hợp đồng bảo hiểm chứng minh rằng sự xuất hiện của rủi ro không dựa trên bất kỳ thực tế nào mà chủ hợp đồng bảo hiểm đã hoặc không trình bày.</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Quyền hủy bỏ như đã nêu trong đoạn trên sẽ bị chấm dứt nếu không được thực hiện trong vòng một tháng kể từ khi công ty bảo hiểm biết nguyên nhân hủy bỏ. Sau khi hợp đồng đã được ký kết hai năm kể từ ngày ký, thì hợp đồng không được hủy bỏ ngay cả khi nguyên nhân cho việc hủy bỏ vẫn còn tồn tại.</w:t>
      </w:r>
      <w:r w:rsidR="00CD1133" w:rsidRPr="008354C2">
        <w:rPr>
          <w:rFonts w:ascii="Times New Roman" w:hAnsi="Times New Roman" w:cs="Times New Roman"/>
          <w:i/>
          <w:sz w:val="28"/>
          <w:szCs w:val="28"/>
        </w:rPr>
        <w:t>”</w:t>
      </w:r>
    </w:p>
    <w:p w:rsidR="00C903F7" w:rsidRPr="008354C2" w:rsidRDefault="00C903F7" w:rsidP="00CD1133">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68</w:t>
      </w:r>
      <w:r w:rsidR="00CD1133" w:rsidRPr="008354C2">
        <w:rPr>
          <w:rFonts w:ascii="Times New Roman" w:hAnsi="Times New Roman" w:cs="Times New Roman"/>
          <w:sz w:val="28"/>
          <w:szCs w:val="28"/>
        </w:rPr>
        <w:t>: “</w:t>
      </w:r>
      <w:r w:rsidRPr="008354C2">
        <w:rPr>
          <w:rFonts w:ascii="Times New Roman" w:hAnsi="Times New Roman" w:cs="Times New Roman"/>
          <w:i/>
          <w:sz w:val="28"/>
          <w:szCs w:val="28"/>
        </w:rPr>
        <w:t>Khi một bên tham gia hợp đồng bảo hiểm vi phạm một điều khoản đặc biệt, bên kia có thể hủy bỏ hợp đồng. Quy tắc tương tự cũng áp dụng sau khi rủi ro xảy ra.</w:t>
      </w:r>
      <w:r w:rsidR="00CD1133" w:rsidRPr="008354C2">
        <w:rPr>
          <w:rFonts w:ascii="Times New Roman" w:hAnsi="Times New Roman" w:cs="Times New Roman"/>
          <w:i/>
          <w:sz w:val="28"/>
          <w:szCs w:val="28"/>
        </w:rPr>
        <w:t>”</w:t>
      </w:r>
    </w:p>
    <w:p w:rsidR="009C4A92" w:rsidRPr="008354C2" w:rsidRDefault="009C4A92" w:rsidP="009C4A92">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2.4. Quy định về thời điểm phát sinh trách nhiệm bảo hiểm</w:t>
      </w:r>
    </w:p>
    <w:p w:rsidR="009C4A92" w:rsidRPr="008354C2" w:rsidRDefault="009C4A92" w:rsidP="009C4A92">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2.4.1. Trung Quốc</w:t>
      </w:r>
    </w:p>
    <w:p w:rsidR="009C4A92" w:rsidRPr="008354C2" w:rsidRDefault="009C4A92" w:rsidP="009C4A92">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Bảo hiểm Trung Quốc quy định về thời điểm phát sinh trách nhiệm bảo hiểm như sau:</w:t>
      </w:r>
    </w:p>
    <w:p w:rsidR="009C4A92" w:rsidRPr="008354C2" w:rsidRDefault="009C4A92" w:rsidP="009C4A92">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13: “</w:t>
      </w:r>
      <w:r w:rsidRPr="008354C2">
        <w:rPr>
          <w:rFonts w:ascii="Times New Roman" w:hAnsi="Times New Roman" w:cs="Times New Roman"/>
          <w:i/>
          <w:sz w:val="28"/>
          <w:szCs w:val="28"/>
        </w:rPr>
        <w:t>Hợp đồng bảo hiểm được ký kết hợp pháp sẽ có hiệu lực sau khi ký kết. Chủ hợp đồng bảo hiểm và công ty bảo hiểm có thể đưa ra điều kiện hoặc thời hạn cho hiệu lực của hợp đồng.”</w:t>
      </w:r>
    </w:p>
    <w:p w:rsidR="009C4A92" w:rsidRPr="008354C2" w:rsidRDefault="009C4A92" w:rsidP="009C4A92">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14: “</w:t>
      </w:r>
      <w:r w:rsidRPr="008354C2">
        <w:rPr>
          <w:rFonts w:ascii="Times New Roman" w:hAnsi="Times New Roman" w:cs="Times New Roman"/>
          <w:i/>
          <w:sz w:val="28"/>
          <w:szCs w:val="28"/>
        </w:rPr>
        <w:t>Sau khi hợp đồng bảo hiểm được ký kết, chủ hợp đồng bảo hiểm phải trả phí bảo hiểm theo thỏa thuận và công ty bảo hiểm bắt đầu thực hiện trách nhiệm bảo hiểm tại thời điểm được thoả thuận.</w:t>
      </w:r>
    </w:p>
    <w:p w:rsidR="009C4A92" w:rsidRPr="008354C2" w:rsidRDefault="009C4A92" w:rsidP="009C4A92">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2.4.2. Đài Loan</w:t>
      </w:r>
    </w:p>
    <w:p w:rsidR="009C4A92" w:rsidRPr="008354C2" w:rsidRDefault="009C4A92" w:rsidP="009C4A92">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Điều 21 Luật Bảo hiểm Đài Loan quy định: “</w:t>
      </w:r>
      <w:r w:rsidRPr="008354C2">
        <w:rPr>
          <w:rFonts w:ascii="Times New Roman" w:hAnsi="Times New Roman" w:cs="Times New Roman"/>
          <w:i/>
          <w:sz w:val="28"/>
          <w:szCs w:val="28"/>
        </w:rPr>
        <w:t xml:space="preserve">Phí bảo hiểm được phân thành hai loại: các khoản phí thanh toán một lần và các khoản phí thanh toán theo từng phần. </w:t>
      </w:r>
      <w:r w:rsidRPr="008354C2">
        <w:rPr>
          <w:rFonts w:ascii="Times New Roman" w:hAnsi="Times New Roman" w:cs="Times New Roman"/>
          <w:i/>
          <w:sz w:val="28"/>
          <w:szCs w:val="28"/>
          <w:u w:val="single"/>
        </w:rPr>
        <w:t>Nếu được quy định trong hợp đồng bảo hiểm thì khoản phí bảo hiểm đóng trọn gói một lần hoặc khoản phí bảo hiểm đợt đầu tiên sẽ được thanh toán trước khi hợp đồng có hiệu lực.</w:t>
      </w:r>
      <w:r w:rsidRPr="008354C2">
        <w:rPr>
          <w:rFonts w:ascii="Times New Roman" w:hAnsi="Times New Roman" w:cs="Times New Roman"/>
          <w:i/>
          <w:sz w:val="28"/>
          <w:szCs w:val="28"/>
        </w:rPr>
        <w:t xml:space="preserve"> Tuy nhiên, yêu cầu này không áp dụng khi phí bảo hiểm chưa được xác định tại thời điểm hợp đồng bảo hiểm được ký kết.”</w:t>
      </w:r>
    </w:p>
    <w:p w:rsidR="009C4A92" w:rsidRPr="008354C2" w:rsidRDefault="009C4A92" w:rsidP="009C4A92">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2.4.3. Đức</w:t>
      </w:r>
    </w:p>
    <w:p w:rsidR="009C4A92" w:rsidRPr="008354C2" w:rsidRDefault="009C4A92" w:rsidP="009C4A92">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Bảo hiểm Đức có một số quy định liên quan đến thời điểm có hiệu lực của hợp đồng bảo hiểm như sau:</w:t>
      </w:r>
    </w:p>
    <w:p w:rsidR="009C4A92" w:rsidRPr="008354C2" w:rsidRDefault="009C4A92" w:rsidP="009C4A92">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10. Bắt đầu và kết thúc bảo hiểm: “</w:t>
      </w:r>
      <w:r w:rsidRPr="008354C2">
        <w:rPr>
          <w:rFonts w:ascii="Times New Roman" w:hAnsi="Times New Roman" w:cs="Times New Roman"/>
          <w:i/>
          <w:sz w:val="28"/>
          <w:szCs w:val="28"/>
        </w:rPr>
        <w:t>Nếu thời gian bảo hiểm được xác định theo ngày, tuần, tháng hoăc vài tháng, thì hợp đồng bảo hiểm sẽ bắt đầu vào đầu ngày ký kết hợp đồng; hết hạn vào cuối ngày đáo hạn hợp đồng.”</w:t>
      </w:r>
    </w:p>
    <w:p w:rsidR="0055386C" w:rsidRPr="008354C2" w:rsidRDefault="009C4A92" w:rsidP="009C4A92">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37. Chậm nộp phí bảo hiểm lần đầu tiên: “</w:t>
      </w:r>
      <w:r w:rsidRPr="008354C2">
        <w:rPr>
          <w:rFonts w:ascii="Times New Roman" w:hAnsi="Times New Roman" w:cs="Times New Roman"/>
          <w:i/>
          <w:sz w:val="28"/>
          <w:szCs w:val="28"/>
        </w:rPr>
        <w:t>(1) Nếu khoản phí bảo hiểm duy nhất hoặc phí bảo hiểm đầu tiên không được nộp đúng hạn thì công ty bảo hiểm có quyền rút khỏi hợp đồng trong thời gian chưa thu được phí, trừ phi chủ hợp đồng bảo hiểm không chịu trách nhiệm đối với việc chậm nộp này. (2) Nếu khoản phí bảo hiểm duy nhất hoặc phí bảo hiểm lần đầu tiên không được nộp khi phát sinh sự kiện được bảo hiểm thì công ty bảo hiểm không có nghĩa vụ chi trả, trừ phi chủ hợp đồng bảo hiểm không có trách nhiệm đối với việc chậm nộp. Công ty bảo hiểm chỉ được miễn trách nhiệm nếu đã thông báo cho chủ hợp đồng bảo hiểm về hậu quả pháp lý của việc không nộp phí bảo hiểm bằng văn bản hoặc bằng cách ghi chú rõ ràng trong Hợp đồng bảo hiểm.”</w:t>
      </w:r>
    </w:p>
    <w:p w:rsidR="00622E7D" w:rsidRPr="008354C2" w:rsidRDefault="00622E7D" w:rsidP="00622E7D">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3. Quy định về các loại hợp đồng bảo hiểm</w:t>
      </w:r>
    </w:p>
    <w:p w:rsidR="00622E7D" w:rsidRPr="008354C2" w:rsidRDefault="00622E7D" w:rsidP="00622E7D">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3.1. Quy định về bảo hiểm kỹ thuật số và hợp đồng điện tử</w:t>
      </w:r>
    </w:p>
    <w:p w:rsidR="00622E7D" w:rsidRPr="008354C2" w:rsidRDefault="00622E7D" w:rsidP="00622E7D">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Luật Bảo hiểm các nước có những các quy định mang tính mô tả liên quan đến hợp đồng điện tử và hoạt động kinh doanh bảo hiểm kỹ thuật số nói chung. Khái niệm “mô tả” có tầm quan trọng đặc biệt ở đây, bởi vì lĩnh vực này vẫn còn rất mới, các hợp đồng “thông minh” chưa được định nghĩa về mặt pháp lý hoặc được coi là đã rõ về mặt kỹ thuật và pháp lý. Hợp đồng điện tử được điều chỉnh bởi các nguyên tắc giống như hợp đồng bảo hiểm “thông thường”. Tuy nhiên, do bản chất của chúng, các quy định chung về bảo hiểm và các quy định chung của các luật pháp liên quan đến trung gian, chữ ký số và khả năng mua bán các sản phẩm tài chính trực tuyến cũng có hiệu lực. Do đó, bất kỳ quy định nào ở giai đoạn này nên đặt ra các tiêu chuẩn chung quy định cách phải hành động nói chung, tuân theo các thông lệ được chấp nhận phổ biến, cách tiếp cận từ trên xuống đối với quy định thận trọng (tập trung vào “sự ổn định hệ thống”).</w:t>
      </w:r>
    </w:p>
    <w:p w:rsidR="00622E7D" w:rsidRPr="008354C2" w:rsidRDefault="00622E7D" w:rsidP="00622E7D">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Hiện tại, các công ty khởi nghiệp bảo hiểm kỹ thuật số tham gia thị trường bảo hiểm chỉ có thể đăng ký theo một trong hai loại hình riêng biệt với tư cách là công ty bảo hiểm hoặc trung gian bảo hiểm. Các cơ quan quản lý thường cho rằng các rủi ro tương tự nên được quy định theo những cách tương tự, và do đó, các doanh nghiệp mới tham gia phải được quy định giống như bất kỳ công ty bảo hiểm nào khác trong phạm vi các rủi ro tương tự. Ở châu Âu, Khuôn khổ khả năng thanh toán II cũng tuyên bố rõ ràng rằng các quy định của họ cần được áp dụng tương ứng với bản chất, quy mô và mức độ phức tạp của các rủi ro vốn có trong doanh nghiệp, đặc biệt là đối với các doanh nghiệp bảo hiểm nhỏ. Hơn nữa, do sự kết hợp của công nghệ với các tác nhân mới (ví dụ như các công ty khởi nghiệp bảo hiểm kỹ thuật số hoặc các công ty công nghệ thông tin), thường chuyên về các lĩnh vực cụ thể của chuỗi giá trị, có thể làm tăng sự phân mảnh của chuỗi giá trị bảo hiểm và các công ty bảo hiểm truyền thống hiện nay cũng sẽ phải thay đổi mô hình kinh doanh; kịch bản có thể xảy ra này làm nảy sinh một số thách thức từ quan điểm giám sát thận trọng. Thật vậy, việc này có thể mang lại sự phức tạp hơn và làm cho những rủi ro tổng thể khó nắm bắt hơn, mặc dù nó cũng có thể tăng khả năng phục hồi và giảm tác động của những thất bại riêng lẻ. Do đó, cần phải đánh giá xem pháp luật hiện hành như các yêu cầu của Khả năng thanh toán 2 về việc giám sát các chức năng và hoạt động dịch vụ thuê ngoài sẽ áp dụng như thế nào dựa trên tác động của đổi mới tài chính.</w:t>
      </w:r>
    </w:p>
    <w:p w:rsidR="00622E7D" w:rsidRPr="008354C2" w:rsidRDefault="00622E7D" w:rsidP="006D4AC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Các cơ quan giám sát cần đảm bảo quy định có thể bảo vệ người tiêu dùng và ổn định tài chính, đồng thời cho phép các bên liên quan - bao gồm cả người tiêu dùng - khai thác hợp lý các lợi ích của đổi mới tài chính. Hơn nữa, cần phải tôn trọng các nguyên tắc giám sát chính như tính trung lập về công nghệ, tính tương xứng, tính nhất quán từ quan điểm dựa trên hoạt động và tính toàn vẹn của thị trường.</w:t>
      </w:r>
    </w:p>
    <w:p w:rsidR="00622E7D" w:rsidRPr="008354C2" w:rsidRDefault="00622E7D" w:rsidP="006D4AC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Các công ty khởi nghiệp và các công ty bảo hiểm truyền thống đôi khi có thể đối mặt với những trở ngại về quy định ngăn cản họ phát triển các hoạt động đổi mới một cách minh bạch và hiệu quả nhất. Họ cũng có thể gặp khó khăn trong việc hiểu các khuôn khổ quy định hiện hành hoặc gặp các vấn đề trong việc tiếp cận nguồn vốn và các nguồn lực.</w:t>
      </w:r>
    </w:p>
    <w:p w:rsidR="00622E7D" w:rsidRPr="008354C2" w:rsidRDefault="00622E7D" w:rsidP="006D4AC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Một số cơ quan quản lý gần đây đã áp dụng một loạt sáng kiến nhằm thúc đẩy đổi mới tài chính trong các quy định pháp lý như sau:</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Các trung tâm đổi mới: Các cơ quan quản lý tài chính cung cấp hỗ trợ riêng cho các công ty chưa quen với các quy định tài chính và/hoặc có thắc mắc về việc liệu một số quy định có áp dụng cho hoạt động của họ hay không..</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Khung thử nghiệm (sandbox): Các cơ quan quản lý cung cấp một môi trường được kiểm soát để thử nghiệm các đổi mới tài chính đáp ứng các tiêu chí nhất định. Sandbox thường hạ thấp các rào cản đối với thử nghiệm trong khuôn khổ quy định hiện có, đồng thời đảm bảo các bên tham gia được bảo vệ thích hợp. Nếu sau khi thử nghiệm, công ty muốn cung cấp dịch vụ của mình cho thị trường rộng lớn hơn, thì công ty sẽ tuân thủ các khuôn khổ quy định hiện có áp dụng cho loại hoạt động đó hoặc quy định mới được thông qua để phục vụ cho hoạt động mới này.</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Quan hệ đối tác công tư: các cơ quan công quyền hỗ trợ các đơn vị tư nhân và tạo ra một diễn đàn cho những người đương nhiệm và các doanh nghiệp khởi nghiệp để trao đổi nguồn lực, bí quyết và kinh nghiệm cũng như hợp tác trong việc tài trợ và phát triển các giải pháp sáng tạo.</w:t>
      </w:r>
    </w:p>
    <w:p w:rsidR="00622E7D" w:rsidRPr="008354C2" w:rsidRDefault="00622E7D" w:rsidP="006D4AC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Ở một số quốc gia như Hà Lan đã thực hiện hai sáng kiến đầu tiên được mô tả ở trên, các cơ quan giám sát cũng đang mở rộng tương tác với các bên liên quan để thảo luận về những phát triển đang diễn ra trên thị trường. Các cơ quan chức năng này đang cam kết dành nguồn lực để nâng cao kiến thức và năng lực của đội ngũ nhân viên trước tầm quan trọng và mức độ phức tạp ngày càng tăng của các cải tiến kỹ thuật luôn thay đổi ảnh hưởng đến lĩnh vực bảo hiểm. Cuối cùng, cơ quan quản lý cũng đang đánh giá xem các chính sách, quy tắc hoặc quy định có cần bất kỳ thay đổi nào để thích ứng với những phát triển mới hay không.</w:t>
      </w:r>
    </w:p>
    <w:p w:rsidR="00622E7D" w:rsidRPr="008354C2" w:rsidRDefault="00622E7D" w:rsidP="006D4ACF">
      <w:pPr>
        <w:spacing w:before="120" w:after="120"/>
        <w:jc w:val="both"/>
        <w:rPr>
          <w:rFonts w:ascii="Times New Roman" w:hAnsi="Times New Roman" w:cs="Times New Roman"/>
          <w:b/>
          <w:i/>
          <w:sz w:val="28"/>
          <w:szCs w:val="28"/>
        </w:rPr>
      </w:pPr>
      <w:r w:rsidRPr="008354C2">
        <w:rPr>
          <w:rFonts w:ascii="Times New Roman" w:hAnsi="Times New Roman" w:cs="Times New Roman"/>
          <w:b/>
          <w:sz w:val="28"/>
          <w:szCs w:val="28"/>
        </w:rPr>
        <w:t>3.2. Bảo hiểm nhóm</w:t>
      </w:r>
    </w:p>
    <w:p w:rsidR="00622E7D" w:rsidRPr="008354C2" w:rsidRDefault="00622E7D" w:rsidP="006D4ACF">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Nhìn chung, hợp đồng bảo hiểm nhóm được định nghĩa là một loại hợp đồng bảo hiểm, trong đó một pháp nhân duy nhất được nêu tên trong hợp đồng hợp đồng với tư cách là chủ hợp đồng thay mặt cho các thành viên nhóm, những người được gọi tên là người được bảo hiểm.</w:t>
      </w:r>
    </w:p>
    <w:p w:rsidR="00622E7D" w:rsidRPr="008354C2" w:rsidRDefault="00622E7D" w:rsidP="00902725">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Các hợp đồng bảo hiểm nhóm có thể được tách biệt trong những hợp đồng mà chủ hợp đồng có quyền lợi có thể bảo hiểm đối với người được bảo hiểm (người được bảo hiểm phải có mối liên hệ chung với chủ hợp đồng, ví dụ người được bảo hiểm là nhân viên của chủ hợp đồng, chủ hợp đồng sẽ bị thiệt thòi, bị tổn thất, nếu sự kiện được bảo hiểm xảy ra) và những trường hợp không tồn tại quyền lợi có thể được bảo hiểm.</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Trước đây, về bản chất, hợp đồng bảo hiểm nhóm không khác nhiều so với các hợp đồng bảo hiểm đơn lẻ, một số đặc điểm cần được quy định, như quyền của người được bảo hiểm khi công ty bảo hiểm hoặc chủ hợp đồng hủy bỏ hợp đồng bảo hiểm, cụ thể là quyền của họ về dự phòng hưu trí trong bảo hiểm nhân thọ. Điều này có thể được tìm thấy trong luật của Đức và Pháp, tuy nhiên không có trong luật Trung Quốc và Singapore.</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Sau này, các hợp đồng bảo hiểm nhóm chủ yếu được thúc đẩy bởi các công ty bảo hiểm nhằm tiết kiệm chi phí quản lý và phân phối bằng cách chỉ cần phát hành một bản sao của hợp đồng bảo hiểm và chỉ liên lạc với một bên thay vì toàn bộ người được bảo hiểm. Nhờ việc tiết kiệm này, phí bảo hiểm có thể rẻ hơn, nhưng có lẽ ở chi phí của quyền lợi tốt nhất của người được bảo hiểm. Do chủ sở hữu của các hợp đồng bảo hiểm đó không có quyền lợi có thể được bảo hiểm đối với người được bảo hiểm, nên chủ hợp đồng càng có ít động lực để hành động vì lợi ích của người được bảo hiểm. Điều này đặc biệt đúng khi chủ hợp đồng thu phí bảo hiểm từ người được bảo hiểm hoặc doanh nghiệp bảo hiểm trả các khoản phí bảo hiểm cho chủ hợp đồng (thay vì cho người được bảo hiểm). Đối với những trường hợp này, nên bổ sung quy định có thể thực hiện được liên quan đến việc tiết lộ chi tiết hợp đồng bảo hiểm trực tiếp cho người được bảo hiểm, thanh toán phí bảo hiểm, thanh toán bồi thường và tiếp thị. Mục đích là để bảo vệ người được bảo hiểm theo hợp đồng bảo hiểm nhóm bằng cách giảm thiểu cơ hội gian lận từ phía chủ hợp đồng.</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Các quy định liên quan đến bảo hiểm nhóm tại Luật bảo hiểm các nước cụ thể như sau:</w:t>
      </w:r>
    </w:p>
    <w:p w:rsidR="00622E7D" w:rsidRPr="008354C2" w:rsidRDefault="00622E7D" w:rsidP="00040401">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3.2.1. Châu Âu</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Chương 18 của Luật Hợp đồng bảo hiểm Châu Âu quy định các điều khoản đặc biệt cho bảo hiểm nhóm cụ thể như sau:</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xml:space="preserve">- Điều 18: 102 Nghĩa vụ chung về lòng trung thực của trưởng nhóm </w:t>
      </w:r>
    </w:p>
    <w:p w:rsidR="00622E7D" w:rsidRPr="008354C2" w:rsidRDefault="00040401"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622E7D" w:rsidRPr="008354C2">
        <w:rPr>
          <w:rFonts w:ascii="Times New Roman" w:hAnsi="Times New Roman" w:cs="Times New Roman"/>
          <w:i/>
          <w:sz w:val="28"/>
          <w:szCs w:val="28"/>
        </w:rPr>
        <w:t>(1) Trong quá trình đàm phán và thực hiện hợp đồng bảo hiểm nhóm, trưởng nhóm sẽ hành động một cách thận trọng và tin tưởng vào quyền lợi hợp pháp của thành viên nhóm.</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Trưởng nhóm sẽ chuyển tiếp bất kỳ thông báo có liên quan nào do công ty bảo hiểm phát hành cho các thành viên nhóm và thông báo cho họ về bất kỳ sửa đổi nào đối với hợp đồng.</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18: 202 Nghĩa vụ thông báo</w:t>
      </w:r>
    </w:p>
    <w:p w:rsidR="00622E7D" w:rsidRPr="008354C2" w:rsidRDefault="00040401"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xml:space="preserve">“(1) </w:t>
      </w:r>
      <w:r w:rsidR="00622E7D" w:rsidRPr="008354C2">
        <w:rPr>
          <w:rFonts w:ascii="Times New Roman" w:hAnsi="Times New Roman" w:cs="Times New Roman"/>
          <w:i/>
          <w:sz w:val="28"/>
          <w:szCs w:val="28"/>
        </w:rPr>
        <w:t>Khi một thành viên nhóm tham gia nhóm, trưởng nhóm sẽ ngay lập tức để thông báo cho các thành viên khác về</w:t>
      </w:r>
      <w:r w:rsidRPr="008354C2">
        <w:rPr>
          <w:rFonts w:ascii="Times New Roman" w:hAnsi="Times New Roman" w:cs="Times New Roman"/>
          <w:i/>
          <w:sz w:val="28"/>
          <w:szCs w:val="28"/>
        </w:rPr>
        <w:t>:</w:t>
      </w:r>
    </w:p>
    <w:p w:rsidR="00622E7D" w:rsidRPr="008354C2" w:rsidRDefault="00040401"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xml:space="preserve">(a) </w:t>
      </w:r>
      <w:r w:rsidR="00622E7D" w:rsidRPr="008354C2">
        <w:rPr>
          <w:rFonts w:ascii="Times New Roman" w:hAnsi="Times New Roman" w:cs="Times New Roman"/>
          <w:i/>
          <w:sz w:val="28"/>
          <w:szCs w:val="28"/>
        </w:rPr>
        <w:t xml:space="preserve">sự tồn tại của hợp đồng bảo hiểm, </w:t>
      </w:r>
    </w:p>
    <w:p w:rsidR="00622E7D" w:rsidRPr="008354C2" w:rsidRDefault="00040401"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xml:space="preserve">(b) </w:t>
      </w:r>
      <w:r w:rsidR="00622E7D" w:rsidRPr="008354C2">
        <w:rPr>
          <w:rFonts w:ascii="Times New Roman" w:hAnsi="Times New Roman" w:cs="Times New Roman"/>
          <w:i/>
          <w:sz w:val="28"/>
          <w:szCs w:val="28"/>
        </w:rPr>
        <w:t>mức độ bao trả,</w:t>
      </w:r>
    </w:p>
    <w:p w:rsidR="00622E7D" w:rsidRPr="008354C2" w:rsidRDefault="00040401"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xml:space="preserve">(c) </w:t>
      </w:r>
      <w:r w:rsidR="00622E7D" w:rsidRPr="008354C2">
        <w:rPr>
          <w:rFonts w:ascii="Times New Roman" w:hAnsi="Times New Roman" w:cs="Times New Roman"/>
          <w:i/>
          <w:sz w:val="28"/>
          <w:szCs w:val="28"/>
        </w:rPr>
        <w:t>bất kỳ biện pháp phòng ngừa và bất kỳ yêu cầu nào khác để duy trì bảo hiểm, và</w:t>
      </w:r>
    </w:p>
    <w:p w:rsidR="00622E7D" w:rsidRPr="008354C2" w:rsidRDefault="00040401"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xml:space="preserve">(d) </w:t>
      </w:r>
      <w:r w:rsidR="00622E7D" w:rsidRPr="008354C2">
        <w:rPr>
          <w:rFonts w:ascii="Times New Roman" w:hAnsi="Times New Roman" w:cs="Times New Roman"/>
          <w:i/>
          <w:sz w:val="28"/>
          <w:szCs w:val="28"/>
        </w:rPr>
        <w:t>thủ tục yêu cầu bồi thường.</w:t>
      </w:r>
    </w:p>
    <w:p w:rsidR="00622E7D" w:rsidRPr="008354C2" w:rsidRDefault="00040401"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xml:space="preserve">(2) </w:t>
      </w:r>
      <w:r w:rsidR="00622E7D" w:rsidRPr="008354C2">
        <w:rPr>
          <w:rFonts w:ascii="Times New Roman" w:hAnsi="Times New Roman" w:cs="Times New Roman"/>
          <w:i/>
          <w:sz w:val="28"/>
          <w:szCs w:val="28"/>
        </w:rPr>
        <w:t>Gánh nặng chứng minh rằng thành viên nhóm đã nhận được thông tin theo yêu cầu của khoản 1 thuôc về trưởng nhóm.</w:t>
      </w:r>
      <w:r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18: 203 Chấm dứt bởi công ty bảo hiểm</w:t>
      </w:r>
    </w:p>
    <w:p w:rsidR="00622E7D" w:rsidRPr="008354C2" w:rsidRDefault="00040401"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622E7D" w:rsidRPr="008354C2">
        <w:rPr>
          <w:rFonts w:ascii="Times New Roman" w:hAnsi="Times New Roman" w:cs="Times New Roman"/>
          <w:i/>
          <w:sz w:val="28"/>
          <w:szCs w:val="28"/>
        </w:rPr>
        <w:t>(1) Với mục đích của Điều 2: 604, việc thực hiện quyền chấm dứt của công ty bảo hiểm sẽ chỉ được coi là hợp lý nếu bị giới hạn việc loại trừ từ bảo hiểm của các thành viên trong nhóm tới người mà sự kiện bảo hiểm xảy ra.</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Theo mục đích của Điều 4: 102 và Điều 4: 203 khoản 1, việc thực hiện quyền chấm dứt của công ty bảo hiểm chỉ có tác dụng loại trừ các thành viên nhóm đó khỏi những người chưa thực hiện các biện pháp phòng ngừa bắt buộc hoặc có rủi ro bị trầm trọng hơn, như trường hợp có thể xảy ra..</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Vì mục đích của Điều 12: 102 chấm dứt hợp đồng bảo hiểm chỉ có tác dụng loại trừ các thành viên nhóm đã chuyển quyền sở hữu của họ sang tài sản được bảo hiểm.</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18: 204 Quyền tiếp tục bảo hiểm - Bảo hiểm nhân thọ nhóm</w:t>
      </w:r>
    </w:p>
    <w:p w:rsidR="00622E7D" w:rsidRPr="008354C2" w:rsidRDefault="00040401"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622E7D" w:rsidRPr="008354C2">
        <w:rPr>
          <w:rFonts w:ascii="Times New Roman" w:hAnsi="Times New Roman" w:cs="Times New Roman"/>
          <w:i/>
          <w:sz w:val="28"/>
          <w:szCs w:val="28"/>
        </w:rPr>
        <w:t>(1) Nếu hợp đồng bảo hiểm nhân thọ nhóm phụ thuộc chấm dứt hoặc nếu thành viên rời khỏi nhóm, thời hạn kết thúc sau ba tháng hoặc hết hạn hợp đồng bảo hiểm nhân thọ nhóm, tùy theo điều kiện nào đến trước. Khi điều này xảy ra, thành viên nhóm sẽ có quyền được bảo hiểm tương đương theo hợp đồng cá nhân mới với công ty bảo hiểm có liên quan mà không có đánh giá mới về rủi ro.</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Ban tổ chức sẽ thông báo cho thành viên nhóm bằng văn bản mà không chậm trễ quá mức về</w:t>
      </w:r>
      <w:r w:rsidR="00040401" w:rsidRPr="008354C2">
        <w:rPr>
          <w:rFonts w:ascii="Times New Roman" w:hAnsi="Times New Roman" w:cs="Times New Roman"/>
          <w:i/>
          <w:sz w:val="28"/>
          <w:szCs w:val="28"/>
        </w:rPr>
        <w:t>:</w:t>
      </w:r>
    </w:p>
    <w:p w:rsidR="00622E7D" w:rsidRPr="008354C2" w:rsidRDefault="00040401"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xml:space="preserve">(a) </w:t>
      </w:r>
      <w:r w:rsidR="00622E7D" w:rsidRPr="008354C2">
        <w:rPr>
          <w:rFonts w:ascii="Times New Roman" w:hAnsi="Times New Roman" w:cs="Times New Roman"/>
          <w:i/>
          <w:sz w:val="28"/>
          <w:szCs w:val="28"/>
        </w:rPr>
        <w:t xml:space="preserve">sự chấm dứt sắp xảy ra của bảo hiểm của mình theo hợp đồng bảo hiểm nhân thọ nhóm, </w:t>
      </w:r>
    </w:p>
    <w:p w:rsidR="00622E7D" w:rsidRPr="008354C2" w:rsidRDefault="00040401"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xml:space="preserve">(b) </w:t>
      </w:r>
      <w:r w:rsidR="00622E7D" w:rsidRPr="008354C2">
        <w:rPr>
          <w:rFonts w:ascii="Times New Roman" w:hAnsi="Times New Roman" w:cs="Times New Roman"/>
          <w:i/>
          <w:sz w:val="28"/>
          <w:szCs w:val="28"/>
        </w:rPr>
        <w:t>quyền theo khoản 1</w:t>
      </w:r>
    </w:p>
    <w:p w:rsidR="00622E7D" w:rsidRPr="008354C2" w:rsidRDefault="00040401"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xml:space="preserve">(c) </w:t>
      </w:r>
      <w:r w:rsidR="00622E7D" w:rsidRPr="008354C2">
        <w:rPr>
          <w:rFonts w:ascii="Times New Roman" w:hAnsi="Times New Roman" w:cs="Times New Roman"/>
          <w:i/>
          <w:sz w:val="28"/>
          <w:szCs w:val="28"/>
        </w:rPr>
        <w:t>cách thực hiện các quyền đó.</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(3) Nếu thành viên nhóm đã cho biết ý định thực thi quyền của mình theo Điều 18: 204 khoản 1, hợp đồng giữa công ty bảo hiểm và thành viên nhóm sẽ tiếp tục là hợp đồng bảo hiểm cá nhân với phí bảo hiểm dựa trên chính sách cá nhân tại thời điểm đó mà không tính đến tình trạng sức khỏe hoặc tuổi của thành viên nhóm hiện tại.</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18: 301 Bảo hiểm nhóm tự chọn: Chung</w:t>
      </w:r>
    </w:p>
    <w:p w:rsidR="00622E7D" w:rsidRPr="008354C2" w:rsidRDefault="00040401"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622E7D" w:rsidRPr="008354C2">
        <w:rPr>
          <w:rFonts w:ascii="Times New Roman" w:hAnsi="Times New Roman" w:cs="Times New Roman"/>
          <w:i/>
          <w:sz w:val="28"/>
          <w:szCs w:val="28"/>
        </w:rPr>
        <w:t>(1) Bảo hiểm nhóm tự chọn được coi là một sự kết hợp của một hợp đồng khung giữa công ty bảo hiểm và nhà tổ chức nhóm và các hợp đồng bảo hiểm cá nhân được ký kết trong khuôn khổ của công ty bảo hiểm và các thành viên nhóm.</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(2) PEICL áp dụng cho các hợp đồng bảo hiểm cá nhân mà tổ chức nhóm và công ty bảo hiểm đã đồng ý về đơn xin của họ, ngoại trừ các Điều 18: 101 và 18: 102, PEICL không áp dụng cho hợp đồng khung.</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18: 302 Thay đổi điều khoản và điều kiện</w:t>
      </w:r>
      <w:r w:rsidR="00040401" w:rsidRPr="008354C2">
        <w:rPr>
          <w:rFonts w:ascii="Times New Roman" w:hAnsi="Times New Roman" w:cs="Times New Roman"/>
          <w:sz w:val="28"/>
          <w:szCs w:val="28"/>
        </w:rPr>
        <w:t>: “</w:t>
      </w:r>
      <w:r w:rsidRPr="008354C2">
        <w:rPr>
          <w:rFonts w:ascii="Times New Roman" w:hAnsi="Times New Roman" w:cs="Times New Roman"/>
          <w:i/>
          <w:sz w:val="28"/>
          <w:szCs w:val="28"/>
        </w:rPr>
        <w:t>Việc thay đổi các điều khoản và điều kiện của hợp đồng khung sẽ chỉ ảnh hưởng đến các hợp đồng bảo hiểm cá nhân nếu thực hiện theo các yêu cầu của Điều 2: 603, 17: 303 và 17: 304, nếu phù hợp.</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18: 303 Tính kế tục của bảo hiểm</w:t>
      </w:r>
      <w:r w:rsidR="00040401" w:rsidRPr="008354C2">
        <w:rPr>
          <w:rFonts w:ascii="Times New Roman" w:hAnsi="Times New Roman" w:cs="Times New Roman"/>
          <w:sz w:val="28"/>
          <w:szCs w:val="28"/>
        </w:rPr>
        <w:t>: “</w:t>
      </w:r>
      <w:r w:rsidRPr="008354C2">
        <w:rPr>
          <w:rFonts w:ascii="Times New Roman" w:hAnsi="Times New Roman" w:cs="Times New Roman"/>
          <w:i/>
          <w:sz w:val="28"/>
          <w:szCs w:val="28"/>
        </w:rPr>
        <w:t>Việc chấm dứt hợp đồng khung hoặc chấm dứt tư cách thành viên trên một phần của một thành viên nhóm cá nhân sẽ không ảnh hưởng đến hợp đồng bảo hiểm giữa công ty bảo hiểm và thành viên nhóm.</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3.2.</w:t>
      </w:r>
      <w:r w:rsidR="00AD54CB" w:rsidRPr="008354C2">
        <w:rPr>
          <w:rFonts w:ascii="Times New Roman" w:hAnsi="Times New Roman" w:cs="Times New Roman"/>
          <w:b/>
          <w:sz w:val="28"/>
          <w:szCs w:val="28"/>
        </w:rPr>
        <w:t>2</w:t>
      </w:r>
      <w:r w:rsidRPr="008354C2">
        <w:rPr>
          <w:rFonts w:ascii="Times New Roman" w:hAnsi="Times New Roman" w:cs="Times New Roman"/>
          <w:b/>
          <w:sz w:val="28"/>
          <w:szCs w:val="28"/>
        </w:rPr>
        <w:t>. Pháp</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Phần IV Luật Bảo hiểm Pháp có quy định về bảo hiểm nhóm như sau:</w:t>
      </w:r>
    </w:p>
    <w:p w:rsidR="00040401"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L141-1 đến L141-7</w:t>
      </w:r>
      <w:r w:rsidR="00040401" w:rsidRPr="008354C2">
        <w:rPr>
          <w:rFonts w:ascii="Times New Roman" w:hAnsi="Times New Roman" w:cs="Times New Roman"/>
          <w:sz w:val="28"/>
          <w:szCs w:val="28"/>
        </w:rPr>
        <w:t xml:space="preserve">: </w:t>
      </w:r>
    </w:p>
    <w:p w:rsidR="00622E7D" w:rsidRPr="008354C2" w:rsidRDefault="00040401" w:rsidP="00040401">
      <w:pPr>
        <w:spacing w:before="120" w:after="120"/>
        <w:jc w:val="both"/>
        <w:rPr>
          <w:rFonts w:ascii="Times New Roman" w:hAnsi="Times New Roman" w:cs="Times New Roman"/>
          <w:sz w:val="28"/>
          <w:szCs w:val="28"/>
        </w:rPr>
      </w:pPr>
      <w:r w:rsidRPr="008354C2">
        <w:rPr>
          <w:rFonts w:ascii="Times New Roman" w:hAnsi="Times New Roman" w:cs="Times New Roman"/>
          <w:i/>
          <w:sz w:val="28"/>
          <w:szCs w:val="28"/>
        </w:rPr>
        <w:t>“</w:t>
      </w:r>
      <w:r w:rsidR="00622E7D" w:rsidRPr="008354C2">
        <w:rPr>
          <w:rFonts w:ascii="Times New Roman" w:hAnsi="Times New Roman" w:cs="Times New Roman"/>
          <w:i/>
          <w:sz w:val="28"/>
          <w:szCs w:val="28"/>
        </w:rPr>
        <w:t>Một hợp đồng bảo hiểm nhóm là một hợp đồng được ký kết bởi một chủ thể pháp luât hoặc người đứng đầu doanh nghiệp theo tư cách thành viên của một nhóm người đáp ứng các điều kiện được quy định trong hợp đồng để bảo hiểm các rủi ro xảy ra trong suốt vòng đời, các rủi ro ảnh hưởng đến tính toàn vẹn thể chất của một người hoặc các rủi ro sinh sản, rủi ro mất khả năng làm việc hoặc rủi ro tàn tật hoặc rủi ro thất nghiệp.</w:t>
      </w:r>
    </w:p>
    <w:p w:rsidR="00040401"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Các thành viên phải có mối liên hệ chung với người tham gia bảo hiểm.</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sz w:val="28"/>
          <w:szCs w:val="28"/>
        </w:rPr>
        <w:t>- Điều L141-2</w:t>
      </w:r>
      <w:r w:rsidR="00040401" w:rsidRPr="008354C2">
        <w:rPr>
          <w:rFonts w:ascii="Times New Roman" w:hAnsi="Times New Roman" w:cs="Times New Roman"/>
          <w:i/>
          <w:sz w:val="28"/>
          <w:szCs w:val="28"/>
        </w:rPr>
        <w:t>: “</w:t>
      </w:r>
      <w:r w:rsidRPr="008354C2">
        <w:rPr>
          <w:rFonts w:ascii="Times New Roman" w:hAnsi="Times New Roman" w:cs="Times New Roman"/>
          <w:i/>
          <w:sz w:val="28"/>
          <w:szCs w:val="28"/>
        </w:rPr>
        <w:t>Các khoản tiền mà thành viên nợ người tham gia bảo hiểm đối với hợp đồng bảo hiểm này phải được tính riêng đối với các khoản tiền mà thành viên nợ người tham gia bảo hiểm theo hợp đồng khác.</w:t>
      </w:r>
      <w:r w:rsidR="00040401" w:rsidRPr="008354C2">
        <w:rPr>
          <w:rFonts w:ascii="Times New Roman" w:hAnsi="Times New Roman" w:cs="Times New Roman"/>
          <w:i/>
          <w:sz w:val="28"/>
          <w:szCs w:val="28"/>
        </w:rPr>
        <w:t>”</w:t>
      </w:r>
    </w:p>
    <w:p w:rsidR="00040401"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L141-3</w:t>
      </w:r>
      <w:r w:rsidR="00040401" w:rsidRPr="008354C2">
        <w:rPr>
          <w:rFonts w:ascii="Times New Roman" w:hAnsi="Times New Roman" w:cs="Times New Roman"/>
          <w:sz w:val="28"/>
          <w:szCs w:val="28"/>
        </w:rPr>
        <w:t xml:space="preserve">: </w:t>
      </w:r>
    </w:p>
    <w:p w:rsidR="00622E7D" w:rsidRPr="008354C2" w:rsidRDefault="00040401"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w:t>
      </w:r>
      <w:r w:rsidR="00622E7D" w:rsidRPr="008354C2">
        <w:rPr>
          <w:rFonts w:ascii="Times New Roman" w:hAnsi="Times New Roman" w:cs="Times New Roman"/>
          <w:i/>
          <w:sz w:val="28"/>
          <w:szCs w:val="28"/>
        </w:rPr>
        <w:t>Người tham gia bảo hiểm chỉ có thể loại một thành viên khỏi quyền lợi của hợp đồng bảo hiểm nhóm nếu mối liên kết giữa họ (thành viên và người tham gia bảo hiểm) bị phá vỡ/chấm dứt/kết thúc hoặc nếu thành viên ngừng việc thanh toán phí bảo hiểm.</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 xml:space="preserve"> Điều loại trừ chỉ có hiệu lực trong vòng bốn mươi ngày kể từ sau khi người tham gia bảo hiểm gửi thư bảo đảm yêu cầu chính thức. Thư này có thể chỉ được gửi trước mười ngày kể từ ngày các khoản tiền phí bảo hiểm phải thanh toán.</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Tại thời điểm yêu cầu chính thức, người tham gia bảo hiểm phải thông báo cho thành viên rằng khi mãn hạn thời hạn được quy định trong đoạn trên, việc không thanh toán phí bảo hiểm có thể dẫn đến hậu quả đó là loại thành viên đó khỏi hợp đồng.</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Tùy từng trường hợp cụ thể, Điều loại trừ này phải đáp ứng các quyền đã được xác định của người được bảo hiểm đối với các phí bảo hiểm hoặc khoản đóng góp mà người được bảo hiểm đã thanh toán.</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L141-4</w:t>
      </w:r>
      <w:r w:rsidR="00040401" w:rsidRPr="008354C2">
        <w:rPr>
          <w:rFonts w:ascii="Times New Roman" w:hAnsi="Times New Roman" w:cs="Times New Roman"/>
          <w:sz w:val="28"/>
          <w:szCs w:val="28"/>
        </w:rPr>
        <w:t>: “</w:t>
      </w:r>
      <w:r w:rsidRPr="008354C2">
        <w:rPr>
          <w:rFonts w:ascii="Times New Roman" w:hAnsi="Times New Roman" w:cs="Times New Roman"/>
          <w:i/>
          <w:sz w:val="28"/>
          <w:szCs w:val="28"/>
        </w:rPr>
        <w:t>Người tham gia bảo hiểm phải:</w:t>
      </w:r>
    </w:p>
    <w:p w:rsidR="00622E7D" w:rsidRPr="008354C2" w:rsidRDefault="00622E7D"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gửi cho thành viên một thông báo do doanh nghiệp bảo hiểm soạn thảo nêu rõ các bảo hiểm và điều kiện bắt đầu có hiệu lực cũng như các thủ tục cần hoàn tất trong trường hợp thiệt hại;</w:t>
      </w:r>
    </w:p>
    <w:p w:rsidR="00622E7D" w:rsidRPr="008354C2" w:rsidRDefault="00622E7D" w:rsidP="00622E7D">
      <w:pPr>
        <w:spacing w:before="120" w:after="120"/>
        <w:ind w:firstLine="709"/>
        <w:jc w:val="both"/>
        <w:rPr>
          <w:rFonts w:ascii="Times New Roman" w:hAnsi="Times New Roman" w:cs="Times New Roman"/>
          <w:i/>
          <w:sz w:val="28"/>
          <w:szCs w:val="28"/>
        </w:rPr>
      </w:pPr>
      <w:r w:rsidRPr="008354C2">
        <w:rPr>
          <w:rFonts w:ascii="Times New Roman" w:hAnsi="Times New Roman" w:cs="Times New Roman"/>
          <w:i/>
          <w:sz w:val="28"/>
          <w:szCs w:val="28"/>
        </w:rPr>
        <w:t>- thông báo bằng văn bản cho các thành viên về những sửa đổi đã được thực hiện đối với quyền và nghĩa vụ của họ tối thiểu ba tháng trước ngày những sửa đổi đó bắt đầu có hiệu lực.</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Việc xác nhận đã gửi thông báo cho thành viên và thông tin liên quan đến các sửa đổi hợp đồng thuộc trách nhiệm của người tham gia bảo hiểm.</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Thành viên có thể chấm dứt quyền thành viên của mình do những sửa đổi này.</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Tuy nhiên, quyền chấm dứt quyền thành viên không được cấp cho thành viên khi mối liên hệ của thành viên với người tham gia bảo hiểm tạo ra quyền thành viên bắt buộc của thành viên đối với  hợp đồng.</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Các bảo hiểm nhóm có mục đích bảo đảm hoàn lại một khoản vay và được điều chỉnh bởi luật pháp chuyên ngành sẽ không phải đệ trình theo các Điều này.</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L141-5</w:t>
      </w:r>
      <w:r w:rsidR="00040401" w:rsidRPr="008354C2">
        <w:rPr>
          <w:rFonts w:ascii="Times New Roman" w:hAnsi="Times New Roman" w:cs="Times New Roman"/>
          <w:sz w:val="28"/>
          <w:szCs w:val="28"/>
        </w:rPr>
        <w:t>: “</w:t>
      </w:r>
      <w:r w:rsidRPr="008354C2">
        <w:rPr>
          <w:rFonts w:ascii="Times New Roman" w:hAnsi="Times New Roman" w:cs="Times New Roman"/>
          <w:i/>
          <w:sz w:val="28"/>
          <w:szCs w:val="28"/>
        </w:rPr>
        <w:t>Ngoại trừ đối với các quy định của các Điều L132-2 và L132-3 quy định về trường hợp người đại diện hợp pháp của một người, không đủ điều kiện có thể tham gia vào một hợp đồng bảo hiểm nhóm trọn đời theo tên của người không đủ điều kiện đã được ký kết để thực hiện một thỏa ước lao động hoặc một hợp đồng công ty.</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L141-6</w:t>
      </w:r>
    </w:p>
    <w:p w:rsidR="00622E7D" w:rsidRPr="008354C2" w:rsidRDefault="00040401"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622E7D" w:rsidRPr="008354C2">
        <w:rPr>
          <w:rFonts w:ascii="Times New Roman" w:hAnsi="Times New Roman" w:cs="Times New Roman"/>
          <w:i/>
          <w:sz w:val="28"/>
          <w:szCs w:val="28"/>
        </w:rPr>
        <w:t>Trong trường hợp, các hợp đồng bảo hiểm nhóm được hiểu theo nghĩa của Điều L141-1, ngoại trừ các Điều được điều chỉnh bởi Mục I của Luật số 89-1009 ngày 31 tháng 12 năm 1989, tăng cường các biện pháp bảo đảm được cung cấp cho người được bảo hiểm nhằm thoát khỏi/chống lại các rủi ro nhất định và trong trường hợp là các hợp đồng cổ phần hóa tập thể có đặc điểm tương tự như các hợp đồng nhóm theo nghĩa của Điều L141-1, xét về quyền thành viên đối với hợp đồng và việc thực hiện hợp đồng, người tham gia bảo hiểm phải được coi là người thực hiện hợp đồng đối với các thành viên, người được bảo hiểm và người thụ hưởng được coi là đại diện của doanh nghiệp bảo hiểm để thực hiện các hành động trong hợp đồng đã được ký kết , ngoại trừ các hành động đã được thông báo tới thành viên theo cách thức được quy định bởi một chỉ thị của Bộ trưởng Kinh tế và những hành động mà người tham gia bảo hiểm không có quyền được thực hiện. Trong trường hợp giải thể hoặc thanh lý tổ chức/tuyên bố phá sản tổ chức của người tham gia bảo hiểm, hợp đồng sẽ tiếp tục có hiệu lực giữa doanh nghiệp bảo hiểm và các thành viên của hợp đồng nhóm.</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Điều này sẽ không áp dụng đối với các hợp đồng bảo hiểm ưu đãi có dịch vụ liên quan đến ngừng hoạt động chuyên môn/nghề nghiệp/kinh doanh, do một doanh nghiệp hoặc một nhóm doanh nghiệp ký kết vì lợi ích của người lao động của họ hoặc được ký kết bởi một cơ quan chức năng đại diện cho các doanh nghiệp vì lợi ích của người lao động hoặc bởi một tổ chức đại diện cho những cá nhân tự doanh hoặc cán bộ của cơ quan công quyền địa phương vì lợi ích các thành viên của họ. Điều này không áp dụng đối với các hợp đồng nhóm được ký kết bởi một tổ chức tín dụng mà mục đích là bảo đảm hoàn lại một khoản vay.</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 Điều L141-7</w:t>
      </w:r>
    </w:p>
    <w:p w:rsidR="00622E7D" w:rsidRPr="008354C2" w:rsidRDefault="00040401"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w:t>
      </w:r>
      <w:r w:rsidR="00622E7D" w:rsidRPr="008354C2">
        <w:rPr>
          <w:rFonts w:ascii="Times New Roman" w:hAnsi="Times New Roman" w:cs="Times New Roman"/>
          <w:i/>
          <w:sz w:val="28"/>
          <w:szCs w:val="28"/>
        </w:rPr>
        <w:t>Hội đồng quản trị của các tổ chức/doanh nghiệp của người tham gia bảo hiểm đối với các hợp đồng bảo hiểm ưu đãi hoặc cấp vốn/vay vốn hoặc bảo hiểm nhóm, mà mối liên kết thành viên với người tham gia bảo hiểm không tạo ra quyền thành viên bắt buộc đối với hợp đồng gồm hơn một nửa thành viên không giữ bất kỳ quyền lợi nào trong hai năm, trước khi họ được bổ nhiệm, không nắm giữ quyền lợi trong bất kỳ cơ quan bảo hiểm ký hợp đồng bảo hiểm nhóm và những người không nhận hoặc những người đã không nhận được bất cứ thù lao nào trong thời gian đó từ những tổ chức hoặc công ty tương tự.</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Các thành viên của những hợp đồng này đương nhiên là thành viên của tổ chức người tham gia bảo hiểm.</w:t>
      </w:r>
    </w:p>
    <w:p w:rsidR="00622E7D" w:rsidRPr="008354C2" w:rsidRDefault="00622E7D" w:rsidP="00040401">
      <w:pPr>
        <w:spacing w:before="120" w:after="120"/>
        <w:jc w:val="both"/>
        <w:rPr>
          <w:rFonts w:ascii="Times New Roman" w:hAnsi="Times New Roman" w:cs="Times New Roman"/>
          <w:i/>
          <w:sz w:val="28"/>
          <w:szCs w:val="28"/>
        </w:rPr>
      </w:pPr>
      <w:r w:rsidRPr="008354C2">
        <w:rPr>
          <w:rFonts w:ascii="Times New Roman" w:hAnsi="Times New Roman" w:cs="Times New Roman"/>
          <w:i/>
          <w:sz w:val="28"/>
          <w:szCs w:val="28"/>
        </w:rPr>
        <w:t>Họ có quyền biểu quyết tại đại hội và có thể đề xuất một nghị quyết tại đại hội. Chỉ thị tại Hội đồng Nhà nước phải quy định rõ các quyền của các thành viên tại đại hội của các hiệp hội.</w:t>
      </w:r>
      <w:r w:rsidR="00040401" w:rsidRPr="008354C2">
        <w:rPr>
          <w:rFonts w:ascii="Times New Roman" w:hAnsi="Times New Roman" w:cs="Times New Roman"/>
          <w:i/>
          <w:sz w:val="28"/>
          <w:szCs w:val="28"/>
        </w:rPr>
        <w:t>”</w:t>
      </w:r>
    </w:p>
    <w:p w:rsidR="00622E7D" w:rsidRPr="008354C2" w:rsidRDefault="00622E7D" w:rsidP="00040401">
      <w:pPr>
        <w:spacing w:before="120" w:after="120"/>
        <w:jc w:val="both"/>
        <w:rPr>
          <w:rFonts w:ascii="Times New Roman" w:hAnsi="Times New Roman" w:cs="Times New Roman"/>
          <w:b/>
          <w:sz w:val="28"/>
          <w:szCs w:val="28"/>
        </w:rPr>
      </w:pPr>
      <w:r w:rsidRPr="008354C2">
        <w:rPr>
          <w:rFonts w:ascii="Times New Roman" w:hAnsi="Times New Roman" w:cs="Times New Roman"/>
          <w:b/>
          <w:sz w:val="28"/>
          <w:szCs w:val="28"/>
        </w:rPr>
        <w:t>3.3. Các bộ phận cấu thành của hợp đồng bảo hiểm</w:t>
      </w:r>
    </w:p>
    <w:p w:rsidR="00622E7D" w:rsidRPr="008354C2" w:rsidRDefault="00622E7D" w:rsidP="001C2F58">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Quy định liên quan đến giai đoạn đề nghị giao kết hợp đồng có bao gồm một tài liệu thông tin phải đi kèm với mỗi sản phẩm được bán, tài liệu thông tin chính (KID) phải đảm bảo các quy định sau:</w:t>
      </w:r>
    </w:p>
    <w:p w:rsidR="00622E7D" w:rsidRPr="008354C2" w:rsidRDefault="00622E7D" w:rsidP="001C2F58">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KID là một tài liệu tiêu chuẩn độc lập được chuẩn bị cho mỗi sản phẩm đầu tư. Một KID có thể có tối đa 3 mặt giấy khổ A4 và có thể tham chiếu đến các tài liệu khác như bản cáo bạch nếu tài liệu tham khảo chéo có liên quan đến thông tin được yêu cầu đưa vào KID hoặc tham khảo thông tin chi tiết. KID cũng có thể cung cấp thông tin về các tùy chọn cho một sản phẩm (chẳng hạn như bảo hiểm nhân thọ) trong một tài liệu.</w:t>
      </w:r>
    </w:p>
    <w:p w:rsidR="00622E7D" w:rsidRPr="008354C2" w:rsidRDefault="00622E7D" w:rsidP="001C2F58">
      <w:pPr>
        <w:spacing w:before="120" w:after="120"/>
        <w:jc w:val="both"/>
        <w:rPr>
          <w:rFonts w:ascii="Times New Roman" w:hAnsi="Times New Roman" w:cs="Times New Roman"/>
          <w:sz w:val="28"/>
          <w:szCs w:val="28"/>
        </w:rPr>
      </w:pPr>
      <w:r w:rsidRPr="008354C2">
        <w:rPr>
          <w:rFonts w:ascii="Times New Roman" w:hAnsi="Times New Roman" w:cs="Times New Roman"/>
          <w:sz w:val="28"/>
          <w:szCs w:val="28"/>
        </w:rPr>
        <w:t>Mỗi KID sẽ cần phải chứa các thông tin sau, được trình bày theo chuỗi các phần cụ thể như sau:</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Sản phẩm này là gì? Loại hình, mục tiêu đầu tư và các đặc điểm chính của sản phẩm</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Rủi ro là gì và người được bảo hiểm có thể nhận được gì? Mô tả ngắn gọn về hồ sơ rủi ro/lợi nhuận, bao gồm một chỉ báo rủi ro tổng hợp, khả năng mất vốn đầu tư có thể xảy ra và các kịch bản tình huống có thể xảy ra</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Điều gì xảy ra nếu doanh nghiệp bảo hiểm cung cấp PRIIP không thể thanh toán? Mô tả ngắn gọn về việc tổn thất liên quan có được bảo hiểm hay không và các rủi ro được bảo hiểm/không được bảo hiểm</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Các chi phí là gì? Chi phí liên quan đến sản phẩm liên kết đầu tư (trực tiếp và gián tiếp)</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Người được bảo hiểm nên giữ sản phẩm trong bao lâu và có thể rút tiền ra sớm không? Thời gian hủy bỏ áp dụng, thời gian nắm giữ tối thiểu, khoản thanh toán trước hạn, hậu quả của việc rút tiền mặt sớm</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Tôi có thể khiếu nại bằng cách nào? Thông tin về cách thức và người gửi khiếu nại (nhà sản xuất và nhà phân phối)</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Thông tin liên quan khác, tài liệu bổ sung phải cung cấp (trước hợp đồng và trong thời gian nắm giữ)</w:t>
      </w:r>
    </w:p>
    <w:p w:rsidR="00622E7D" w:rsidRPr="008354C2" w:rsidRDefault="00622E7D" w:rsidP="001C2F58">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Công ty bảo hiểm cũng phải gửi cho cơ quan quản lý, giám sát các quy định phác thảo bố cục của KID, bao gồm những nội dung sau:</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Nội dung và cách trình bày của KID</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Cách tính toán một số thông tin trong KID</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Đánh giá, sửa đổi và công bố KID</w:t>
      </w:r>
    </w:p>
    <w:p w:rsidR="00622E7D" w:rsidRPr="008354C2" w:rsidRDefault="00622E7D" w:rsidP="00D648A1">
      <w:pPr>
        <w:pStyle w:val="ListParagraph"/>
        <w:numPr>
          <w:ilvl w:val="0"/>
          <w:numId w:val="3"/>
        </w:num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Thời gian phân phối KID</w:t>
      </w:r>
    </w:p>
    <w:p w:rsidR="00622E7D" w:rsidRPr="008354C2" w:rsidRDefault="00622E7D" w:rsidP="001C2F58">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Theo quy định của cơ quan quản lý, chủ yếu có hai khía cạnh liên quan đến các sản phẩm bảo hiểm có tính chất đầu tư:</w:t>
      </w:r>
    </w:p>
    <w:p w:rsidR="00622E7D" w:rsidRPr="008354C2" w:rsidRDefault="00622E7D" w:rsidP="001C2F58">
      <w:pPr>
        <w:spacing w:before="120" w:after="120"/>
        <w:ind w:firstLine="36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 Đánh giá tính phù hợp và hợp lý của các sản phẩm bảo hiểm có tính chất đầu tư: Việc đánh giá tính phù hợp được thực hiện bởi các công ty bảo hiểm cung cấp tư vấn cho khách hàng về sản phẩm IBIP để cho phép công ty bảo hiểm giới thiệu cho khách hàng hoặc khách hàng tiềm năng những IBIP phù hợp với người đó. Những tư vấn này phải phù hợp với mục tiêu đầu tư của khách hàng, tình hình tài chính, khả năng chịu lỗ và trình độ kiến thức / kinh nghiệm của họ. Khi một công ty bảo hiểm đề xuất đầu tư một gói dịch vụ hoặc sản phẩm đi kèm, thì gói dịch vụ tổng hợp đi kèm phải phù hợp. Khi không đưa ra lời tư vấn, doanh nghiệp bảo hiểm cần thực hiện đánh giá sự phù hợp để xác định xem khách hàng có đủ kiến thức và kinh nghiệm để hiểu các rủi ro tiềm ẩn của sản phẩm hay không. Khi dự kiến bán một gói dịch vụ hoặc sản phẩm, việc đánh giá phải xem xét liệu gói tổng thể có phù hợp hay không.</w:t>
      </w:r>
    </w:p>
    <w:p w:rsidR="00622E7D" w:rsidRPr="008354C2" w:rsidRDefault="00622E7D" w:rsidP="00622E7D">
      <w:pPr>
        <w:spacing w:before="120" w:after="120"/>
        <w:ind w:firstLine="7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 Đào tạo kiến thức liên tục (CPD): Các bên trung gian phải đảm bảo năng lực và cập nhật kiến thức liên tục, tỷ lệ thuận với mức độ phức tạp của sản phẩm bán ra, cũng như kênh phân phối.</w:t>
      </w:r>
    </w:p>
    <w:p w:rsidR="00622E7D" w:rsidRPr="008354C2" w:rsidRDefault="00622E7D" w:rsidP="001C2F58">
      <w:pPr>
        <w:spacing w:before="120" w:after="120"/>
        <w:jc w:val="both"/>
        <w:rPr>
          <w:rFonts w:ascii="Times New Roman" w:hAnsi="Times New Roman" w:cs="Times New Roman"/>
          <w:b/>
          <w:sz w:val="28"/>
          <w:szCs w:val="28"/>
          <w:lang w:val="fr-FR"/>
        </w:rPr>
      </w:pPr>
      <w:r w:rsidRPr="008354C2">
        <w:rPr>
          <w:rFonts w:ascii="Times New Roman" w:hAnsi="Times New Roman" w:cs="Times New Roman"/>
          <w:b/>
          <w:sz w:val="28"/>
          <w:szCs w:val="28"/>
          <w:lang w:val="fr-FR"/>
        </w:rPr>
        <w:t>3.4. Trách nhiệm của doanh nghiệp bảo hiểm khi một bên cố ý gây tổ</w:t>
      </w:r>
      <w:r w:rsidR="001C2F58" w:rsidRPr="008354C2">
        <w:rPr>
          <w:rFonts w:ascii="Times New Roman" w:hAnsi="Times New Roman" w:cs="Times New Roman"/>
          <w:b/>
          <w:sz w:val="28"/>
          <w:szCs w:val="28"/>
          <w:lang w:val="fr-FR"/>
        </w:rPr>
        <w:t>n th</w:t>
      </w:r>
      <w:r w:rsidRPr="008354C2">
        <w:rPr>
          <w:rFonts w:ascii="Times New Roman" w:hAnsi="Times New Roman" w:cs="Times New Roman"/>
          <w:b/>
          <w:sz w:val="28"/>
          <w:szCs w:val="28"/>
          <w:lang w:val="fr-FR"/>
        </w:rPr>
        <w:t>ất</w:t>
      </w:r>
    </w:p>
    <w:p w:rsidR="00622E7D" w:rsidRPr="008354C2" w:rsidRDefault="00622E7D" w:rsidP="001C2F58">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Trên bình diện quốc tế, khi một bên cố ý gây tổn thất, doanh nghiệp bảo hiểm thường được miễn trách nhiệm bồi thường tổn thất đó.</w:t>
      </w:r>
    </w:p>
    <w:p w:rsidR="00622E7D" w:rsidRPr="008354C2" w:rsidRDefault="00622E7D" w:rsidP="001C2F58">
      <w:pPr>
        <w:spacing w:before="120" w:after="120"/>
        <w:jc w:val="both"/>
        <w:rPr>
          <w:rFonts w:ascii="Times New Roman" w:hAnsi="Times New Roman" w:cs="Times New Roman"/>
          <w:b/>
          <w:sz w:val="28"/>
          <w:szCs w:val="28"/>
          <w:lang w:val="fr-FR"/>
        </w:rPr>
      </w:pPr>
      <w:r w:rsidRPr="008354C2">
        <w:rPr>
          <w:rFonts w:ascii="Times New Roman" w:hAnsi="Times New Roman" w:cs="Times New Roman"/>
          <w:b/>
          <w:sz w:val="28"/>
          <w:szCs w:val="28"/>
          <w:lang w:val="fr-FR"/>
        </w:rPr>
        <w:t>3.4.1. Đức</w:t>
      </w:r>
    </w:p>
    <w:p w:rsidR="00622E7D" w:rsidRPr="008354C2" w:rsidRDefault="00622E7D" w:rsidP="001C2F58">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 Điều 103 Gây ra sự kiện được bảo hiểm</w:t>
      </w:r>
      <w:r w:rsidR="001C2F58" w:rsidRPr="008354C2">
        <w:rPr>
          <w:rFonts w:ascii="Times New Roman" w:hAnsi="Times New Roman" w:cs="Times New Roman"/>
          <w:sz w:val="28"/>
          <w:szCs w:val="28"/>
          <w:lang w:val="fr-FR"/>
        </w:rPr>
        <w:t>: « </w:t>
      </w:r>
      <w:r w:rsidRPr="008354C2">
        <w:rPr>
          <w:rFonts w:ascii="Times New Roman" w:hAnsi="Times New Roman" w:cs="Times New Roman"/>
          <w:i/>
          <w:sz w:val="28"/>
          <w:szCs w:val="28"/>
          <w:lang w:val="fr-FR"/>
        </w:rPr>
        <w:t>Doanh nghiệp bảo hiểm sẽ không có nghĩa vụ thanh toán nếu bên mua bảo hiểm đã cố ý và trái pháp luật gây ra tổn thất mà bên thứ ba phải chịu.</w:t>
      </w:r>
      <w:r w:rsidR="001C2F58" w:rsidRPr="008354C2">
        <w:rPr>
          <w:rFonts w:ascii="Times New Roman" w:hAnsi="Times New Roman" w:cs="Times New Roman"/>
          <w:i/>
          <w:sz w:val="28"/>
          <w:szCs w:val="28"/>
          <w:lang w:val="fr-FR"/>
        </w:rPr>
        <w:t> »</w:t>
      </w:r>
    </w:p>
    <w:p w:rsidR="00622E7D" w:rsidRPr="008354C2" w:rsidRDefault="00622E7D" w:rsidP="001C2F58">
      <w:pPr>
        <w:spacing w:before="120" w:after="120"/>
        <w:jc w:val="both"/>
        <w:rPr>
          <w:rFonts w:ascii="Times New Roman" w:hAnsi="Times New Roman" w:cs="Times New Roman"/>
          <w:b/>
          <w:sz w:val="28"/>
          <w:szCs w:val="28"/>
          <w:lang w:val="fr-FR"/>
        </w:rPr>
      </w:pPr>
      <w:r w:rsidRPr="008354C2">
        <w:rPr>
          <w:rFonts w:ascii="Times New Roman" w:hAnsi="Times New Roman" w:cs="Times New Roman"/>
          <w:b/>
          <w:sz w:val="28"/>
          <w:szCs w:val="28"/>
          <w:lang w:val="fr-FR"/>
        </w:rPr>
        <w:t>3.4.2. Pháp</w:t>
      </w:r>
    </w:p>
    <w:p w:rsidR="00622E7D" w:rsidRPr="008354C2" w:rsidRDefault="00622E7D" w:rsidP="001C2F58">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 Điều L113-1</w:t>
      </w:r>
      <w:r w:rsidR="001C2F58" w:rsidRPr="008354C2">
        <w:rPr>
          <w:rFonts w:ascii="Times New Roman" w:hAnsi="Times New Roman" w:cs="Times New Roman"/>
          <w:sz w:val="28"/>
          <w:szCs w:val="28"/>
          <w:lang w:val="fr-FR"/>
        </w:rPr>
        <w:t> : « </w:t>
      </w:r>
      <w:r w:rsidRPr="008354C2">
        <w:rPr>
          <w:rFonts w:ascii="Times New Roman" w:hAnsi="Times New Roman" w:cs="Times New Roman"/>
          <w:i/>
          <w:sz w:val="28"/>
          <w:szCs w:val="28"/>
          <w:lang w:val="fr-FR"/>
        </w:rPr>
        <w:t>Bảo lưu các loại trừ bảo hiểm chính thức và hạn chế có trong hợp đồng bảo hiểm, doanh nghiệp bảo hiểm sẽ chịu những tổn thất và thiệt hại do tai nạn không lường trước được hoặc do lỗi của người được bảo hiểm gây ra.</w:t>
      </w:r>
      <w:r w:rsidR="001C2F58" w:rsidRPr="008354C2">
        <w:rPr>
          <w:rFonts w:ascii="Times New Roman" w:hAnsi="Times New Roman" w:cs="Times New Roman"/>
          <w:i/>
          <w:sz w:val="28"/>
          <w:szCs w:val="28"/>
          <w:lang w:val="fr-FR"/>
        </w:rPr>
        <w:t> </w:t>
      </w:r>
      <w:r w:rsidRPr="008354C2">
        <w:rPr>
          <w:rFonts w:ascii="Times New Roman" w:hAnsi="Times New Roman" w:cs="Times New Roman"/>
          <w:i/>
          <w:sz w:val="28"/>
          <w:szCs w:val="28"/>
          <w:lang w:val="fr-FR"/>
        </w:rPr>
        <w:t>Tuy nhiên, công ty bảo hiểm sẽ không chịu trách nhiệm về những tổn thất và thiệt hại do hành vi gian dối hoặc cố ý gian dối của người được bảo hiểm.</w:t>
      </w:r>
      <w:r w:rsidR="001C2F58" w:rsidRPr="008354C2">
        <w:rPr>
          <w:rFonts w:ascii="Times New Roman" w:hAnsi="Times New Roman" w:cs="Times New Roman"/>
          <w:i/>
          <w:sz w:val="28"/>
          <w:szCs w:val="28"/>
          <w:lang w:val="fr-FR"/>
        </w:rPr>
        <w:t> »</w:t>
      </w:r>
    </w:p>
    <w:p w:rsidR="00622E7D" w:rsidRPr="008354C2" w:rsidRDefault="00622E7D" w:rsidP="001C2F58">
      <w:pPr>
        <w:spacing w:before="120" w:after="120"/>
        <w:jc w:val="both"/>
        <w:rPr>
          <w:rFonts w:ascii="Times New Roman" w:hAnsi="Times New Roman" w:cs="Times New Roman"/>
          <w:b/>
          <w:sz w:val="28"/>
          <w:szCs w:val="28"/>
          <w:lang w:val="fr-FR"/>
        </w:rPr>
      </w:pPr>
      <w:r w:rsidRPr="008354C2">
        <w:rPr>
          <w:rFonts w:ascii="Times New Roman" w:hAnsi="Times New Roman" w:cs="Times New Roman"/>
          <w:b/>
          <w:sz w:val="28"/>
          <w:szCs w:val="28"/>
          <w:lang w:val="fr-FR"/>
        </w:rPr>
        <w:t>3.4.3. Trung Quốc</w:t>
      </w:r>
    </w:p>
    <w:p w:rsidR="00622E7D" w:rsidRPr="008354C2" w:rsidRDefault="00622E7D" w:rsidP="001C2F58">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Việc giải phóng trách nhiệm đối với công ty bảo hiểm không được đề cập chính xác, tuy nhiên có thể suy ra ở các điều sau:</w:t>
      </w:r>
    </w:p>
    <w:p w:rsidR="00622E7D" w:rsidRPr="008354C2" w:rsidRDefault="00622E7D" w:rsidP="001C2F58">
      <w:pPr>
        <w:spacing w:before="120" w:after="120"/>
        <w:jc w:val="both"/>
        <w:rPr>
          <w:rFonts w:ascii="Times New Roman" w:hAnsi="Times New Roman" w:cs="Times New Roman"/>
          <w:i/>
          <w:sz w:val="28"/>
          <w:szCs w:val="28"/>
          <w:lang w:val="fr-FR"/>
        </w:rPr>
      </w:pPr>
      <w:r w:rsidRPr="008354C2">
        <w:rPr>
          <w:rFonts w:ascii="Times New Roman" w:hAnsi="Times New Roman" w:cs="Times New Roman"/>
          <w:sz w:val="28"/>
          <w:szCs w:val="28"/>
          <w:lang w:val="fr-FR"/>
        </w:rPr>
        <w:t>- Điều 176</w:t>
      </w:r>
      <w:r w:rsidR="001C2F58" w:rsidRPr="008354C2">
        <w:rPr>
          <w:rFonts w:ascii="Times New Roman" w:hAnsi="Times New Roman" w:cs="Times New Roman"/>
          <w:sz w:val="28"/>
          <w:szCs w:val="28"/>
          <w:lang w:val="fr-FR"/>
        </w:rPr>
        <w:t> : « </w:t>
      </w:r>
      <w:r w:rsidRPr="008354C2">
        <w:rPr>
          <w:rFonts w:ascii="Times New Roman" w:hAnsi="Times New Roman" w:cs="Times New Roman"/>
          <w:i/>
          <w:sz w:val="28"/>
          <w:szCs w:val="28"/>
          <w:lang w:val="fr-FR"/>
        </w:rPr>
        <w:t>Người có hợp đồng bảo hiểm, người được bảo hiểm hoặc người thụ hưởng thực hiện bất kỳ hành vi nào sau đây nhằm mục đích gian lận bảo hiểm sẽ bị xử phạt hành chính nếu không cấu thành tội phạm:</w:t>
      </w:r>
    </w:p>
    <w:p w:rsidR="00622E7D" w:rsidRPr="008354C2" w:rsidRDefault="00622E7D" w:rsidP="001C2F58">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(1) Chủ hợp đồng cố ý tạo dựng đối tượng bảo hiểm để lừa đảo quyền lợi có thể được bảo hiểm;</w:t>
      </w:r>
    </w:p>
    <w:p w:rsidR="00622E7D" w:rsidRPr="008354C2" w:rsidRDefault="00622E7D" w:rsidP="001C2F58">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(2) Dựng lên sự kiện thuộc phạm vi bảo hiểm mà chưa từng xảy ra hoặc bịa ra nguyên nhân của sự kiện thuộc phạm vi bảo hiểm hoặc phóng đại mức độ thiệt hại của sự kiện thuộc phạm vi bảo hiểm để lừa đảo trục lợi bảo hiểm; hoặc</w:t>
      </w:r>
    </w:p>
    <w:p w:rsidR="00622E7D" w:rsidRPr="008354C2" w:rsidRDefault="00622E7D" w:rsidP="001C2F58">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(3) Cố ý gây ra sự kiện thuộc phạm vi bảo hiểm để lừa đảo quyền lợi bảo hiểm.</w:t>
      </w:r>
    </w:p>
    <w:p w:rsidR="00622E7D" w:rsidRPr="008354C2" w:rsidRDefault="00622E7D" w:rsidP="001C2F58">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Người thẩm định, giám định viên hoặc những người xác nhận một sự kiện thuộc phạm vi bảo hiểm mà cố tình nộp bất kỳ bằng chứng giả nào để tạo điều kiện cho chủ hợp đồng, người được bảo hiểm hoặc người thụ hưởng thực hiện hành vi gian lận bảo hiểm sẽ bị trừng phạt theo khoản trên.</w:t>
      </w:r>
      <w:r w:rsidR="001C2F58" w:rsidRPr="008354C2">
        <w:rPr>
          <w:rFonts w:ascii="Times New Roman" w:hAnsi="Times New Roman" w:cs="Times New Roman"/>
          <w:i/>
          <w:sz w:val="28"/>
          <w:szCs w:val="28"/>
          <w:lang w:val="fr-FR"/>
        </w:rPr>
        <w:t> »</w:t>
      </w:r>
    </w:p>
    <w:p w:rsidR="00622E7D" w:rsidRPr="008354C2" w:rsidRDefault="00622E7D" w:rsidP="001C2F58">
      <w:pPr>
        <w:spacing w:before="120" w:after="120"/>
        <w:jc w:val="both"/>
        <w:rPr>
          <w:rFonts w:ascii="Times New Roman" w:hAnsi="Times New Roman" w:cs="Times New Roman"/>
          <w:i/>
          <w:sz w:val="28"/>
          <w:szCs w:val="28"/>
          <w:lang w:val="fr-FR"/>
        </w:rPr>
      </w:pPr>
      <w:r w:rsidRPr="008354C2">
        <w:rPr>
          <w:rFonts w:ascii="Times New Roman" w:hAnsi="Times New Roman" w:cs="Times New Roman"/>
          <w:sz w:val="28"/>
          <w:szCs w:val="28"/>
          <w:lang w:val="fr-FR"/>
        </w:rPr>
        <w:t>- Điều 177</w:t>
      </w:r>
      <w:r w:rsidR="001C2F58" w:rsidRPr="008354C2">
        <w:rPr>
          <w:rFonts w:ascii="Times New Roman" w:hAnsi="Times New Roman" w:cs="Times New Roman"/>
          <w:sz w:val="28"/>
          <w:szCs w:val="28"/>
          <w:lang w:val="fr-FR"/>
        </w:rPr>
        <w:t> : « </w:t>
      </w:r>
      <w:r w:rsidRPr="008354C2">
        <w:rPr>
          <w:rFonts w:ascii="Times New Roman" w:hAnsi="Times New Roman" w:cs="Times New Roman"/>
          <w:i/>
          <w:sz w:val="28"/>
          <w:szCs w:val="28"/>
          <w:lang w:val="fr-FR"/>
        </w:rPr>
        <w:t>Người nào vi phạm Luật này mà gây thiệt hại, mất mát cho người khác thì phải chịu trách nhiệm dân sự theo quy định của pháp luật.</w:t>
      </w:r>
      <w:r w:rsidR="001C2F58" w:rsidRPr="008354C2">
        <w:rPr>
          <w:rFonts w:ascii="Times New Roman" w:hAnsi="Times New Roman" w:cs="Times New Roman"/>
          <w:i/>
          <w:sz w:val="28"/>
          <w:szCs w:val="28"/>
          <w:lang w:val="fr-FR"/>
        </w:rPr>
        <w:t> »</w:t>
      </w:r>
    </w:p>
    <w:p w:rsidR="00622E7D" w:rsidRPr="008354C2" w:rsidRDefault="00622E7D" w:rsidP="001C2F58">
      <w:pPr>
        <w:spacing w:before="120" w:after="120"/>
        <w:jc w:val="both"/>
        <w:rPr>
          <w:rFonts w:ascii="Times New Roman" w:hAnsi="Times New Roman" w:cs="Times New Roman"/>
          <w:b/>
          <w:sz w:val="28"/>
          <w:szCs w:val="28"/>
          <w:lang w:val="fr-FR"/>
        </w:rPr>
      </w:pPr>
      <w:r w:rsidRPr="008354C2">
        <w:rPr>
          <w:rFonts w:ascii="Times New Roman" w:hAnsi="Times New Roman" w:cs="Times New Roman"/>
          <w:b/>
          <w:sz w:val="28"/>
          <w:szCs w:val="28"/>
          <w:lang w:val="fr-FR"/>
        </w:rPr>
        <w:t>3.5. Trách nhiệm của bên mua bảo hiểm trong việc khai báo thông tin</w:t>
      </w:r>
    </w:p>
    <w:p w:rsidR="00622E7D" w:rsidRPr="008354C2" w:rsidRDefault="00622E7D" w:rsidP="009578E4">
      <w:pPr>
        <w:spacing w:before="120" w:after="120"/>
        <w:jc w:val="both"/>
        <w:rPr>
          <w:rFonts w:ascii="Times New Roman" w:hAnsi="Times New Roman" w:cs="Times New Roman"/>
          <w:b/>
          <w:sz w:val="28"/>
          <w:szCs w:val="28"/>
          <w:lang w:val="fr-FR"/>
        </w:rPr>
      </w:pPr>
      <w:r w:rsidRPr="008354C2">
        <w:rPr>
          <w:rFonts w:ascii="Times New Roman" w:hAnsi="Times New Roman" w:cs="Times New Roman"/>
          <w:b/>
          <w:sz w:val="28"/>
          <w:szCs w:val="28"/>
          <w:lang w:val="fr-FR"/>
        </w:rPr>
        <w:t>3.5.1. Đức</w:t>
      </w:r>
    </w:p>
    <w:p w:rsidR="00622E7D" w:rsidRPr="008354C2" w:rsidRDefault="009578E4" w:rsidP="009578E4">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 xml:space="preserve">- </w:t>
      </w:r>
      <w:r w:rsidR="00622E7D" w:rsidRPr="008354C2">
        <w:rPr>
          <w:rFonts w:ascii="Times New Roman" w:hAnsi="Times New Roman" w:cs="Times New Roman"/>
          <w:sz w:val="28"/>
          <w:szCs w:val="28"/>
          <w:lang w:val="fr-FR"/>
        </w:rPr>
        <w:t>Điều 19 đề cập đến nghĩa vụ khai báo của bên mua bảo hiểm</w:t>
      </w:r>
    </w:p>
    <w:p w:rsidR="00622E7D" w:rsidRPr="008354C2" w:rsidRDefault="006B1289" w:rsidP="006B1289">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 </w:t>
      </w:r>
      <w:r w:rsidR="00622E7D" w:rsidRPr="008354C2">
        <w:rPr>
          <w:rFonts w:ascii="Times New Roman" w:hAnsi="Times New Roman" w:cs="Times New Roman"/>
          <w:i/>
          <w:sz w:val="28"/>
          <w:szCs w:val="28"/>
          <w:lang w:val="fr-FR"/>
        </w:rPr>
        <w:t>(1) Bên mua bảo hiểm phải khai báo cho công ty bảo hiểm trước khi chấp nhận hợp đồng bảo hiểm đối với các yếu tố rủi ro mà có liên quan đến quyết định giao kết hợp đồng với nội dung đã thoả thuận và công ty bảo hiểm đã yêu cầu bằng văn bản. Nếu sau khi nhận được sự chấp nhận của bên mua bảo hiểm và trước khi chấp nhận hợp đồng, công ty bảo hiểm hỏi những câu hỏi như được đề cập trong câu đầu tiên, bên mua bảo hiểm cũng phải có nghĩa vụ khai báo về những câu hỏi này.</w:t>
      </w:r>
    </w:p>
    <w:p w:rsidR="00622E7D" w:rsidRPr="008354C2" w:rsidRDefault="00622E7D" w:rsidP="006B1289">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(2) Nếu bên mua bảo hiểm vi phạm nghĩa vụ công bố thông tin theo tiểu mục (1), công ty bảo hiểm có thể rút khỏi hợp đồng.</w:t>
      </w:r>
      <w:r w:rsidR="006B1289" w:rsidRPr="008354C2">
        <w:rPr>
          <w:rFonts w:ascii="Times New Roman" w:hAnsi="Times New Roman" w:cs="Times New Roman"/>
          <w:i/>
          <w:sz w:val="28"/>
          <w:szCs w:val="28"/>
          <w:lang w:val="fr-FR"/>
        </w:rPr>
        <w:t> »</w:t>
      </w:r>
    </w:p>
    <w:p w:rsidR="00622E7D" w:rsidRPr="008354C2" w:rsidRDefault="00622E7D" w:rsidP="006B1289">
      <w:pPr>
        <w:spacing w:before="120" w:after="120"/>
        <w:jc w:val="both"/>
        <w:rPr>
          <w:rFonts w:ascii="Times New Roman" w:hAnsi="Times New Roman" w:cs="Times New Roman"/>
          <w:b/>
          <w:sz w:val="28"/>
          <w:szCs w:val="28"/>
          <w:lang w:val="fr-FR"/>
        </w:rPr>
      </w:pPr>
      <w:r w:rsidRPr="008354C2">
        <w:rPr>
          <w:rFonts w:ascii="Times New Roman" w:hAnsi="Times New Roman" w:cs="Times New Roman"/>
          <w:b/>
          <w:sz w:val="28"/>
          <w:szCs w:val="28"/>
          <w:lang w:val="fr-FR"/>
        </w:rPr>
        <w:t>3.5.2. Pháp</w:t>
      </w:r>
    </w:p>
    <w:p w:rsidR="00622E7D" w:rsidRPr="008354C2" w:rsidRDefault="00622E7D" w:rsidP="006B1289">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 Điều L132-26</w:t>
      </w:r>
    </w:p>
    <w:p w:rsidR="00622E7D" w:rsidRPr="008354C2" w:rsidRDefault="006B1289" w:rsidP="006B1289">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 </w:t>
      </w:r>
      <w:r w:rsidR="00622E7D" w:rsidRPr="008354C2">
        <w:rPr>
          <w:rFonts w:ascii="Times New Roman" w:hAnsi="Times New Roman" w:cs="Times New Roman"/>
          <w:i/>
          <w:sz w:val="28"/>
          <w:szCs w:val="28"/>
          <w:lang w:val="fr-FR"/>
        </w:rPr>
        <w:t>Khai báo sai tuổi của người được bảo hiểm sẽ dẫn đến việc mất hiệu lực bảo hiểm chỉ khi tuổi thực của người đó nằm ngoài giới hạn giao kết hợp đồng theo mức phí của nhà bảo hiểm.</w:t>
      </w:r>
    </w:p>
    <w:p w:rsidR="00622E7D" w:rsidRPr="008354C2" w:rsidRDefault="00622E7D" w:rsidP="006B1289">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Trong bất kỳ trường hợp nào khác, nếu lỗi này dẫn đến phí bảo hiểm phải trả thấp hơn mức đáng lẽ phải trả, vốn hoặc quyền lợi niên kim được bảo hiểm sẽ bị giảm tương ứng với phí bảo hiểm đã trả hoặc sẽ tương ứng với tuổi thực của người được bảo hiểm. Ngược lại, nếu do sai sót về tuổi, người được bảo hiểm đã đóng quá nhiều phí bảo hiểm, thì doanh nghiệp bảo hiểm có nghĩa vụ hoàn trả phần phí bảo hiểm đã nộp thừa mà không tính lãi suất.</w:t>
      </w:r>
      <w:r w:rsidR="006B1289" w:rsidRPr="008354C2">
        <w:rPr>
          <w:rFonts w:ascii="Times New Roman" w:hAnsi="Times New Roman" w:cs="Times New Roman"/>
          <w:i/>
          <w:sz w:val="28"/>
          <w:szCs w:val="28"/>
          <w:lang w:val="fr-FR"/>
        </w:rPr>
        <w:t> »</w:t>
      </w:r>
    </w:p>
    <w:p w:rsidR="00622E7D" w:rsidRPr="008354C2" w:rsidRDefault="006B1289" w:rsidP="006B1289">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 xml:space="preserve">- </w:t>
      </w:r>
      <w:r w:rsidR="00622E7D" w:rsidRPr="008354C2">
        <w:rPr>
          <w:rFonts w:ascii="Times New Roman" w:hAnsi="Times New Roman" w:cs="Times New Roman"/>
          <w:sz w:val="28"/>
          <w:szCs w:val="28"/>
          <w:lang w:val="fr-FR"/>
        </w:rPr>
        <w:t>Điều L113-8</w:t>
      </w:r>
    </w:p>
    <w:p w:rsidR="00622E7D" w:rsidRPr="008354C2" w:rsidRDefault="006B1289" w:rsidP="006B1289">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 </w:t>
      </w:r>
      <w:r w:rsidR="00622E7D" w:rsidRPr="008354C2">
        <w:rPr>
          <w:rFonts w:ascii="Times New Roman" w:hAnsi="Times New Roman" w:cs="Times New Roman"/>
          <w:i/>
          <w:sz w:val="28"/>
          <w:szCs w:val="28"/>
          <w:lang w:val="fr-FR"/>
        </w:rPr>
        <w:t>Ngoài các nguyên nhân thông thường dẫn đến vô hiệu và tuân theo các quy định của Điều L132-26, hợp đồng bảo hiểm sẽ vô hiệu trong trường hợp miễn cưỡng hoặc cố ý khai báo sai của người được bảo hiểm, khi sự thiếu sót hoặc khai báo sai lệch đó làm thay đổi chủ thể của rủi ro hoặc làm giảm đánh giá của doanh nghiệp bảo hiểm về nó, ngay cả khi rủi ro mà người được bảo hiểm che giấu hoặc bóp méo không ảnh hưởng đến tổn thất.</w:t>
      </w:r>
      <w:r w:rsidRPr="008354C2">
        <w:rPr>
          <w:rFonts w:ascii="Times New Roman" w:hAnsi="Times New Roman" w:cs="Times New Roman"/>
          <w:i/>
          <w:sz w:val="28"/>
          <w:szCs w:val="28"/>
          <w:lang w:val="fr-FR"/>
        </w:rPr>
        <w:t> »</w:t>
      </w:r>
    </w:p>
    <w:p w:rsidR="00622E7D" w:rsidRPr="008354C2" w:rsidRDefault="006B1289" w:rsidP="006B1289">
      <w:pPr>
        <w:spacing w:before="120" w:after="120"/>
        <w:jc w:val="both"/>
        <w:rPr>
          <w:rFonts w:ascii="Times New Roman" w:hAnsi="Times New Roman" w:cs="Times New Roman"/>
          <w:sz w:val="28"/>
          <w:szCs w:val="28"/>
          <w:lang w:val="fr-FR"/>
        </w:rPr>
      </w:pPr>
      <w:r w:rsidRPr="008354C2">
        <w:rPr>
          <w:rFonts w:ascii="Times New Roman" w:hAnsi="Times New Roman" w:cs="Times New Roman"/>
          <w:sz w:val="28"/>
          <w:szCs w:val="28"/>
          <w:lang w:val="fr-FR"/>
        </w:rPr>
        <w:t xml:space="preserve">- </w:t>
      </w:r>
      <w:r w:rsidR="00622E7D" w:rsidRPr="008354C2">
        <w:rPr>
          <w:rFonts w:ascii="Times New Roman" w:hAnsi="Times New Roman" w:cs="Times New Roman"/>
          <w:sz w:val="28"/>
          <w:szCs w:val="28"/>
          <w:lang w:val="fr-FR"/>
        </w:rPr>
        <w:t>Điều L113-9</w:t>
      </w:r>
    </w:p>
    <w:p w:rsidR="00622E7D" w:rsidRPr="008354C2" w:rsidRDefault="006B1289" w:rsidP="006B1289">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 </w:t>
      </w:r>
      <w:r w:rsidR="00622E7D" w:rsidRPr="008354C2">
        <w:rPr>
          <w:rFonts w:ascii="Times New Roman" w:hAnsi="Times New Roman" w:cs="Times New Roman"/>
          <w:i/>
          <w:sz w:val="28"/>
          <w:szCs w:val="28"/>
          <w:lang w:val="fr-FR"/>
        </w:rPr>
        <w:t>Nếu việc không trung thực của người được bảo hiểm không được chứng minh, việc bỏ sót hoặc khai báo sai của người được bảo hiểm sẽ không dẫn đến việc bảo hiểm vô hiệu.</w:t>
      </w:r>
    </w:p>
    <w:p w:rsidR="00622E7D" w:rsidRPr="008354C2" w:rsidRDefault="00622E7D" w:rsidP="006B1289">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Nếu điều này được ghi nhận trước khi xảy ra tổn thất, công ty bảo hiểm có quyền tiếp tục hợp đồng với việc tăng phí bảo hiểm mà người được bảo hiểm chấp nhận hoặc chấm dứt hợp đồng sau mười ngày kể từ ngày thông báo cho người được bảo hiểm bằng văn bản và bằng cách trả lại phần phí bảo hiểm đã trả cho khoảng thời gian không được bảo hiểm.</w:t>
      </w:r>
    </w:p>
    <w:p w:rsidR="00005EBA" w:rsidRPr="008354C2" w:rsidRDefault="00622E7D" w:rsidP="00005EBA">
      <w:pPr>
        <w:spacing w:before="120" w:after="120"/>
        <w:jc w:val="both"/>
        <w:rPr>
          <w:rFonts w:ascii="Times New Roman" w:hAnsi="Times New Roman" w:cs="Times New Roman"/>
          <w:i/>
          <w:sz w:val="28"/>
          <w:szCs w:val="28"/>
          <w:lang w:val="fr-FR"/>
        </w:rPr>
      </w:pPr>
      <w:r w:rsidRPr="008354C2">
        <w:rPr>
          <w:rFonts w:ascii="Times New Roman" w:hAnsi="Times New Roman" w:cs="Times New Roman"/>
          <w:i/>
          <w:sz w:val="28"/>
          <w:szCs w:val="28"/>
          <w:lang w:val="fr-FR"/>
        </w:rPr>
        <w:t>Trong trường hợp việc ghi nhận chỉ diễn ra sau khi xảy ra tổn thất, thì khoản bồi thường sẽ được giảm tương ứng với tỷ lệ phí bảo hiểm đã trả so với tỷ lệ phí bảo hiểm sẽ nợ nếu rủi ro được khai báo trung thực và đầy đủ.</w:t>
      </w:r>
      <w:r w:rsidR="006B1289" w:rsidRPr="008354C2">
        <w:rPr>
          <w:rFonts w:ascii="Times New Roman" w:hAnsi="Times New Roman" w:cs="Times New Roman"/>
          <w:i/>
          <w:sz w:val="28"/>
          <w:szCs w:val="28"/>
          <w:lang w:val="fr-FR"/>
        </w:rPr>
        <w:t> »</w:t>
      </w:r>
    </w:p>
    <w:p w:rsidR="002F30D4" w:rsidRPr="008354C2" w:rsidRDefault="00F95ABB" w:rsidP="00005EBA">
      <w:pPr>
        <w:spacing w:before="120" w:after="120"/>
        <w:jc w:val="center"/>
        <w:rPr>
          <w:rFonts w:ascii="Times New Roman" w:hAnsi="Times New Roman" w:cs="Times New Roman"/>
          <w:i/>
          <w:sz w:val="28"/>
          <w:szCs w:val="28"/>
          <w:lang w:val="fr-FR"/>
        </w:rPr>
      </w:pPr>
      <w:r w:rsidRPr="008354C2">
        <w:rPr>
          <w:rFonts w:ascii="Times New Roman" w:eastAsia="Arial" w:hAnsi="Times New Roman" w:cs="Times New Roman"/>
          <w:b/>
          <w:sz w:val="28"/>
          <w:lang w:val="fr-FR"/>
        </w:rPr>
        <w:t xml:space="preserve">IV. </w:t>
      </w:r>
      <w:r w:rsidR="002F30D4" w:rsidRPr="008354C2">
        <w:rPr>
          <w:rFonts w:ascii="Times New Roman" w:eastAsia="Arial" w:hAnsi="Times New Roman" w:cs="Times New Roman"/>
          <w:b/>
          <w:sz w:val="28"/>
          <w:lang w:val="fr-FR"/>
        </w:rPr>
        <w:t>CHÍNH SÁCH 4: KHUYẾN KHÍCH SỬ DỤNG, ỨNG DỤNG CÔNG NGHỆ THÔNG TIN, NHẰM CHUẨN MỰC HÓA CÁC HOẠT ĐỘNG VÀ GIAO DỊCH BẢO HIỂM TRÊN THỊ TRƯỜNG, NÂNG CAO HIỆU QUẢ HOẠT ĐỘNG BẢO HIỂM</w:t>
      </w:r>
    </w:p>
    <w:p w:rsidR="00DE3B2F" w:rsidRPr="008354C2" w:rsidRDefault="00DE3B2F" w:rsidP="00103963">
      <w:pPr>
        <w:spacing w:after="120" w:line="360" w:lineRule="exact"/>
        <w:jc w:val="both"/>
        <w:rPr>
          <w:rFonts w:ascii="Times New Roman" w:eastAsia="Arial" w:hAnsi="Times New Roman" w:cs="Times New Roman"/>
          <w:b/>
          <w:sz w:val="28"/>
          <w:szCs w:val="28"/>
          <w:lang w:val="fr-FR"/>
        </w:rPr>
      </w:pPr>
      <w:r w:rsidRPr="008354C2">
        <w:rPr>
          <w:rFonts w:ascii="Times New Roman" w:eastAsia="Arial" w:hAnsi="Times New Roman" w:cs="Times New Roman"/>
          <w:b/>
          <w:sz w:val="28"/>
          <w:szCs w:val="28"/>
          <w:lang w:val="fr-FR"/>
        </w:rPr>
        <w:t>1. Quy định pháp luật về việc xây dựng hệ thống thông tin và áp dụng công nghệ trong việc thiết kế, phát triển, triển khai, phân phối sản phẩm, dịch vụ bảo hiể</w:t>
      </w:r>
      <w:r w:rsidR="00103963" w:rsidRPr="008354C2">
        <w:rPr>
          <w:rFonts w:ascii="Times New Roman" w:eastAsia="Arial" w:hAnsi="Times New Roman" w:cs="Times New Roman"/>
          <w:b/>
          <w:sz w:val="28"/>
          <w:szCs w:val="28"/>
          <w:lang w:val="fr-FR"/>
        </w:rPr>
        <w:t>m</w:t>
      </w:r>
    </w:p>
    <w:p w:rsidR="00DE3B2F" w:rsidRPr="008354C2" w:rsidRDefault="00103963" w:rsidP="00103963">
      <w:pPr>
        <w:spacing w:after="120" w:line="360" w:lineRule="exact"/>
        <w:jc w:val="both"/>
        <w:rPr>
          <w:rFonts w:ascii="Times New Roman" w:eastAsia="Arial" w:hAnsi="Times New Roman" w:cs="Times New Roman"/>
          <w:b/>
          <w:sz w:val="28"/>
          <w:szCs w:val="28"/>
          <w:lang w:val="fr-FR"/>
        </w:rPr>
      </w:pPr>
      <w:r w:rsidRPr="008354C2">
        <w:rPr>
          <w:rFonts w:ascii="Times New Roman" w:eastAsia="Arial" w:hAnsi="Times New Roman" w:cs="Times New Roman"/>
          <w:b/>
          <w:sz w:val="28"/>
          <w:szCs w:val="28"/>
          <w:lang w:val="fr-FR"/>
        </w:rPr>
        <w:t>1.1. Singapore</w:t>
      </w:r>
    </w:p>
    <w:p w:rsidR="00DE3B2F" w:rsidRPr="008354C2" w:rsidRDefault="00DE3B2F" w:rsidP="00DE3B2F">
      <w:pPr>
        <w:spacing w:after="16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"Trình web" có nghĩa là cổng thông tin Internet hoặc tên miền trên Internet do Cơ quan quản lý hoặc Cơ quan có thẩm quyền tạo ra, phát triển và hoạt động với mục đích công bố thông tin nhất định theo thời gian, để hỗ trợ bất kỳ người nào trong việc mua hợp đồng bảo hiểm. Mỗi doanh nghiệp bảo hiểm được cấp phép đều phải trả cho Cơ quan quản lý các khoản phí được quy định để thực hiện cho việc:  hoạt động của trình tổng hợp web; việc phát triển trình tổng hợp web; việc duy trì trình thu thập dữ liệu web và việc sử dụng của doanh nghiệp bảo hiểm được cấp phép, hoặc một nhóm doanh nghiệp bảo hiểm được cấp phép.</w:t>
      </w:r>
    </w:p>
    <w:p w:rsidR="00DE3B2F" w:rsidRPr="008354C2" w:rsidRDefault="00DE3B2F" w:rsidP="00DE3B2F">
      <w:pPr>
        <w:spacing w:after="16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Cơ quan quản lý có thể quy định các khoản phí khác nhau đối với các doanh nghiệp bảo hiểm được cấp phép liên quan đến chi phí của các dịch vụ do Cơ quan cung cấp.</w:t>
      </w:r>
    </w:p>
    <w:p w:rsidR="00DE3B2F" w:rsidRPr="008354C2" w:rsidRDefault="00DE3B2F" w:rsidP="00DE3B2F">
      <w:pPr>
        <w:spacing w:after="16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Tổng lệ phí phải trả của tất cả các doanh nghiệp bảo hiểm được cấp phép cho Cơ quan quản lý trong khoảng thời gian 12 tháng hoặc ngắn hơn.</w:t>
      </w:r>
    </w:p>
    <w:p w:rsidR="00DE3B2F" w:rsidRPr="008354C2" w:rsidRDefault="00DE3B2F" w:rsidP="00103963">
      <w:pPr>
        <w:spacing w:after="120" w:line="360" w:lineRule="exact"/>
        <w:jc w:val="both"/>
        <w:rPr>
          <w:rFonts w:ascii="Times New Roman" w:eastAsia="Arial" w:hAnsi="Times New Roman" w:cs="Times New Roman"/>
          <w:b/>
          <w:sz w:val="28"/>
          <w:szCs w:val="28"/>
          <w:lang w:val="fr-FR"/>
        </w:rPr>
      </w:pPr>
      <w:r w:rsidRPr="008354C2">
        <w:rPr>
          <w:rFonts w:ascii="Times New Roman" w:eastAsia="Arial" w:hAnsi="Times New Roman" w:cs="Times New Roman"/>
          <w:b/>
          <w:sz w:val="28"/>
          <w:szCs w:val="28"/>
          <w:lang w:val="fr-FR"/>
        </w:rPr>
        <w:t>1.2. Trung Quố</w:t>
      </w:r>
      <w:r w:rsidR="00103963" w:rsidRPr="008354C2">
        <w:rPr>
          <w:rFonts w:ascii="Times New Roman" w:eastAsia="Arial" w:hAnsi="Times New Roman" w:cs="Times New Roman"/>
          <w:b/>
          <w:sz w:val="28"/>
          <w:szCs w:val="28"/>
          <w:lang w:val="fr-FR"/>
        </w:rPr>
        <w:t>c</w:t>
      </w:r>
    </w:p>
    <w:p w:rsidR="00DE3B2F" w:rsidRPr="008354C2" w:rsidRDefault="00DE3B2F" w:rsidP="00103963">
      <w:pPr>
        <w:spacing w:after="120" w:line="360" w:lineRule="exact"/>
        <w:jc w:val="both"/>
        <w:rPr>
          <w:rFonts w:ascii="Times New Roman" w:eastAsia="Arial" w:hAnsi="Times New Roman" w:cs="Times New Roman"/>
          <w:i/>
          <w:sz w:val="28"/>
          <w:szCs w:val="28"/>
          <w:lang w:val="fr-FR"/>
        </w:rPr>
      </w:pPr>
      <w:r w:rsidRPr="008354C2">
        <w:rPr>
          <w:rFonts w:ascii="Times New Roman" w:eastAsia="Arial" w:hAnsi="Times New Roman" w:cs="Times New Roman"/>
          <w:i/>
          <w:sz w:val="28"/>
          <w:szCs w:val="28"/>
          <w:lang w:val="fr-FR"/>
        </w:rPr>
        <w:t>Điều 68</w:t>
      </w:r>
      <w:r w:rsidRPr="008354C2">
        <w:rPr>
          <w:rFonts w:ascii="Times New Roman" w:eastAsia="Arial" w:hAnsi="Times New Roman" w:cs="Times New Roman"/>
          <w:sz w:val="28"/>
          <w:szCs w:val="28"/>
          <w:lang w:val="fr-FR"/>
        </w:rPr>
        <w:t xml:space="preserve">: </w:t>
      </w:r>
      <w:r w:rsidRPr="008354C2">
        <w:rPr>
          <w:rFonts w:ascii="Times New Roman" w:eastAsia="Arial" w:hAnsi="Times New Roman" w:cs="Times New Roman"/>
          <w:i/>
          <w:sz w:val="28"/>
          <w:szCs w:val="28"/>
          <w:lang w:val="fr-FR"/>
        </w:rPr>
        <w:t>Điều kiện thành lập công ty bảo hiểm:</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Công ty bảo hiểm phải có một cấu trúc tổ chức và hệ thống quản lý vững chắc;</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Công ty bảo hiểm có địa điểm kinh doanh và các phương tiện khác liên quan đến hoạt động kinh doanh phù hợp với các yêu cầu liên quan; và</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 xml:space="preserve">Điều 108: </w:t>
      </w:r>
      <w:r w:rsidRPr="008354C2">
        <w:rPr>
          <w:rFonts w:ascii="Times New Roman" w:eastAsia="Arial" w:hAnsi="Times New Roman" w:cs="Times New Roman"/>
          <w:sz w:val="28"/>
          <w:szCs w:val="28"/>
          <w:lang w:val="fr-FR"/>
        </w:rPr>
        <w:t>Công ty bảo hiểm phải thiết lập các quy tắc về quản lý và công bố thông tin các giao dịch liên kết theo yêu cầu của cơ quan quản lý bảo hiểm thuộc Hội đồng Nhà nước.</w:t>
      </w:r>
    </w:p>
    <w:p w:rsidR="00DE3B2F" w:rsidRPr="008354C2" w:rsidRDefault="00DE3B2F" w:rsidP="00103963">
      <w:pPr>
        <w:spacing w:after="120" w:line="360" w:lineRule="exact"/>
        <w:jc w:val="both"/>
        <w:rPr>
          <w:rFonts w:ascii="Times New Roman" w:eastAsia="Arial" w:hAnsi="Times New Roman" w:cs="Times New Roman"/>
          <w:b/>
          <w:sz w:val="28"/>
          <w:szCs w:val="28"/>
          <w:lang w:val="fr-FR"/>
        </w:rPr>
      </w:pPr>
      <w:r w:rsidRPr="008354C2">
        <w:rPr>
          <w:rFonts w:ascii="Times New Roman" w:eastAsia="Arial" w:hAnsi="Times New Roman" w:cs="Times New Roman"/>
          <w:b/>
          <w:sz w:val="28"/>
          <w:szCs w:val="28"/>
          <w:lang w:val="fr-FR"/>
        </w:rPr>
        <w:t>1.3. Hàn Quố</w:t>
      </w:r>
      <w:r w:rsidR="00103963" w:rsidRPr="008354C2">
        <w:rPr>
          <w:rFonts w:ascii="Times New Roman" w:eastAsia="Arial" w:hAnsi="Times New Roman" w:cs="Times New Roman"/>
          <w:b/>
          <w:sz w:val="28"/>
          <w:szCs w:val="28"/>
          <w:lang w:val="fr-FR"/>
        </w:rPr>
        <w:t>c</w:t>
      </w:r>
    </w:p>
    <w:p w:rsidR="00DE3B2F" w:rsidRPr="008354C2" w:rsidRDefault="00DE3B2F" w:rsidP="00103963">
      <w:pPr>
        <w:spacing w:after="120" w:line="360" w:lineRule="exact"/>
        <w:jc w:val="both"/>
        <w:rPr>
          <w:rFonts w:ascii="Times New Roman" w:eastAsia="Arial" w:hAnsi="Times New Roman" w:cs="Times New Roman"/>
          <w:i/>
          <w:sz w:val="28"/>
          <w:szCs w:val="28"/>
          <w:lang w:val="fr-FR"/>
        </w:rPr>
      </w:pPr>
      <w:r w:rsidRPr="008354C2">
        <w:rPr>
          <w:rFonts w:ascii="Times New Roman" w:eastAsia="Arial" w:hAnsi="Times New Roman" w:cs="Times New Roman"/>
          <w:i/>
          <w:sz w:val="28"/>
          <w:szCs w:val="28"/>
          <w:lang w:val="fr-FR"/>
        </w:rPr>
        <w:t>Điều 2-6. (Tiêu chuẩn đánh giá về Giấy phép kinh doanh bảo hiểm):</w:t>
      </w:r>
    </w:p>
    <w:p w:rsidR="00DE3B2F" w:rsidRPr="008354C2" w:rsidRDefault="00DE3B2F" w:rsidP="00DE3B2F">
      <w:pPr>
        <w:spacing w:after="16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Yêu cầu cụ thể về nguồn nhân lực và cơ sở vật chất phù hợp với Điều 10, Khoản 1 của Nghị định được quy định trong Phụ lục 2.</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Yêu cầu cụ thể về nguồn nhân lực và cơ sở vật chất phù hợp với Điều 10, Khoản 1 của Nghị định được quy định trong phụ lục 2.</w:t>
      </w:r>
    </w:p>
    <w:p w:rsidR="00DE3B2F" w:rsidRPr="008354C2" w:rsidRDefault="00DE3B2F" w:rsidP="00103963">
      <w:pPr>
        <w:spacing w:after="120" w:line="360" w:lineRule="exact"/>
        <w:jc w:val="both"/>
        <w:rPr>
          <w:rFonts w:ascii="Times New Roman" w:eastAsia="Arial" w:hAnsi="Times New Roman" w:cs="Times New Roman"/>
          <w:i/>
          <w:sz w:val="28"/>
          <w:szCs w:val="28"/>
          <w:lang w:val="fr-FR"/>
        </w:rPr>
      </w:pPr>
      <w:r w:rsidRPr="008354C2">
        <w:rPr>
          <w:rFonts w:ascii="Times New Roman" w:eastAsia="Arial" w:hAnsi="Times New Roman" w:cs="Times New Roman"/>
          <w:i/>
          <w:sz w:val="28"/>
          <w:szCs w:val="28"/>
          <w:lang w:val="fr-FR"/>
        </w:rPr>
        <w:t>Điều 2-7. (Bảo trì, vv của nguồn nhân lực và cơ sở vật chất):</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Ngay cả sau khi có giấy phép, công ty bảo hiểm phải duy trì và duy trì nhân lực và cơ sở vật chất đáp ứng các tiêu chuẩn cung cấp tại Phụ lục 2 của Điều 2-6, Khoản (1).</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Bất kể Khoản (1), nếu công ty bảo hiểm không đáp ứng các yêu cầu được cung cấp theo Khoản (1) trong khi có ý định thay đổi nhân lực và cơ sở vật chất thì phải xin FSC theo Phụ lục 5.</w:t>
      </w:r>
    </w:p>
    <w:p w:rsidR="00DE3B2F" w:rsidRPr="008354C2" w:rsidRDefault="00DE3B2F" w:rsidP="00103963">
      <w:pPr>
        <w:spacing w:after="120" w:line="360" w:lineRule="exact"/>
        <w:jc w:val="both"/>
        <w:rPr>
          <w:rFonts w:ascii="Times New Roman" w:eastAsia="Arial" w:hAnsi="Times New Roman" w:cs="Times New Roman"/>
          <w:b/>
          <w:i/>
          <w:sz w:val="28"/>
          <w:szCs w:val="28"/>
          <w:lang w:val="fr-FR"/>
        </w:rPr>
      </w:pPr>
      <w:r w:rsidRPr="008354C2">
        <w:rPr>
          <w:rFonts w:ascii="Times New Roman" w:eastAsia="Arial" w:hAnsi="Times New Roman" w:cs="Times New Roman"/>
          <w:b/>
          <w:i/>
          <w:sz w:val="28"/>
          <w:szCs w:val="28"/>
          <w:lang w:val="fr-FR"/>
        </w:rPr>
        <w:t>Phụ lục 2: Các tiêu chuẩn yêu cầu cụ thể của nguồn nhân lực và cơ sở vật chất:</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Các cơ sở kinh doanh bao gồm văn phòng để thực hiện hoạt động kinh doanh bảo hiểm theo đúng dự định được chấp thuận sẽ được trang bị;</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Các cơ sở công nghệ thông tin theo tiểu đoạn 3 dưới đây trang bị: Cung cấp sự phù hợp của các cơ sở công nghệ thông tin được đánh giá theo loại và quy mô kinh doanh bảo hiểm;</w:t>
      </w:r>
    </w:p>
    <w:p w:rsidR="00DE3B2F" w:rsidRPr="008354C2" w:rsidRDefault="00DE3B2F" w:rsidP="00103963">
      <w:pPr>
        <w:spacing w:after="120" w:line="360" w:lineRule="exact"/>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Việc quản lý và vận hành các cơ sở vật chất phải yêu cầu trong mục theo Điều 10, Khoản 8 của Nghị định.</w:t>
      </w:r>
    </w:p>
    <w:p w:rsidR="00DE3B2F" w:rsidRPr="008354C2" w:rsidRDefault="00DE3B2F" w:rsidP="00DE3B2F">
      <w:pPr>
        <w:spacing w:after="160" w:line="360" w:lineRule="exact"/>
        <w:jc w:val="both"/>
        <w:rPr>
          <w:rFonts w:ascii="Times New Roman" w:eastAsia="Arial" w:hAnsi="Times New Roman" w:cs="Times New Roman"/>
          <w:b/>
          <w:i/>
          <w:sz w:val="28"/>
          <w:szCs w:val="28"/>
          <w:lang w:val="fr-FR"/>
        </w:rPr>
      </w:pPr>
      <w:r w:rsidRPr="008354C2">
        <w:rPr>
          <w:rFonts w:ascii="Times New Roman" w:eastAsia="Arial" w:hAnsi="Times New Roman" w:cs="Times New Roman"/>
          <w:b/>
          <w:i/>
          <w:sz w:val="28"/>
          <w:szCs w:val="28"/>
          <w:lang w:val="fr-FR"/>
        </w:rPr>
        <w:t>Thiết bị công nghệ thông tin:</w:t>
      </w:r>
    </w:p>
    <w:tbl>
      <w:tblPr>
        <w:tblStyle w:val="TableGrid11"/>
        <w:tblW w:w="9445" w:type="dxa"/>
        <w:jc w:val="center"/>
        <w:tblCellMar>
          <w:left w:w="115" w:type="dxa"/>
          <w:right w:w="115" w:type="dxa"/>
        </w:tblCellMar>
        <w:tblLook w:val="04A0"/>
      </w:tblPr>
      <w:tblGrid>
        <w:gridCol w:w="3415"/>
        <w:gridCol w:w="6030"/>
      </w:tblGrid>
      <w:tr w:rsidR="00DE3B2F" w:rsidRPr="008354C2" w:rsidTr="00DE3B2F">
        <w:trPr>
          <w:jc w:val="center"/>
        </w:trPr>
        <w:tc>
          <w:tcPr>
            <w:tcW w:w="3415" w:type="dxa"/>
          </w:tcPr>
          <w:p w:rsidR="00DE3B2F" w:rsidRPr="008354C2" w:rsidRDefault="00DE3B2F" w:rsidP="00DE3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rPr>
            </w:pPr>
            <w:r w:rsidRPr="008354C2">
              <w:rPr>
                <w:rFonts w:ascii="Times New Roman" w:eastAsia="Times New Roman" w:hAnsi="Times New Roman" w:cs="Times New Roman"/>
                <w:b/>
                <w:sz w:val="28"/>
                <w:szCs w:val="28"/>
                <w:shd w:val="clear" w:color="auto" w:fill="FFFFFF"/>
              </w:rPr>
              <w:t>Tiêu chí đánh giá</w:t>
            </w:r>
          </w:p>
        </w:tc>
        <w:tc>
          <w:tcPr>
            <w:tcW w:w="6030" w:type="dxa"/>
          </w:tcPr>
          <w:p w:rsidR="00DE3B2F" w:rsidRPr="008354C2" w:rsidRDefault="00DE3B2F" w:rsidP="00DE3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rPr>
            </w:pPr>
            <w:r w:rsidRPr="008354C2">
              <w:rPr>
                <w:rFonts w:ascii="Times New Roman" w:eastAsia="Times New Roman" w:hAnsi="Times New Roman" w:cs="Times New Roman"/>
                <w:b/>
                <w:sz w:val="28"/>
                <w:szCs w:val="28"/>
              </w:rPr>
              <w:t>Yêu cầu</w:t>
            </w:r>
          </w:p>
        </w:tc>
      </w:tr>
      <w:tr w:rsidR="00DE3B2F" w:rsidRPr="0064777E" w:rsidTr="00DE3B2F">
        <w:trPr>
          <w:jc w:val="center"/>
        </w:trPr>
        <w:tc>
          <w:tcPr>
            <w:tcW w:w="3415" w:type="dxa"/>
          </w:tcPr>
          <w:p w:rsidR="00DE3B2F" w:rsidRPr="008354C2" w:rsidRDefault="00DE3B2F" w:rsidP="001039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Phần cứng (H / W) sẽ có</w:t>
            </w:r>
            <w:r w:rsidRPr="008354C2">
              <w:rPr>
                <w:rFonts w:ascii="Times New Roman" w:eastAsia="Times New Roman" w:hAnsi="Times New Roman" w:cs="Times New Roman"/>
                <w:sz w:val="28"/>
                <w:szCs w:val="28"/>
              </w:rPr>
              <w:t xml:space="preserve"> </w:t>
            </w:r>
            <w:r w:rsidRPr="008354C2">
              <w:rPr>
                <w:rFonts w:ascii="Times New Roman" w:eastAsia="Times New Roman" w:hAnsi="Times New Roman" w:cs="Times New Roman"/>
                <w:sz w:val="28"/>
                <w:szCs w:val="28"/>
                <w:lang w:val="vi-VN"/>
              </w:rPr>
              <w:t xml:space="preserve">năng lực </w:t>
            </w:r>
            <w:r w:rsidRPr="008354C2">
              <w:rPr>
                <w:rFonts w:ascii="Times New Roman" w:eastAsia="Times New Roman" w:hAnsi="Times New Roman" w:cs="Times New Roman"/>
                <w:sz w:val="28"/>
                <w:szCs w:val="28"/>
              </w:rPr>
              <w:t>thực hiện</w:t>
            </w:r>
            <w:r w:rsidRPr="008354C2">
              <w:rPr>
                <w:rFonts w:ascii="Times New Roman" w:eastAsia="Times New Roman" w:hAnsi="Times New Roman" w:cs="Times New Roman"/>
                <w:sz w:val="28"/>
                <w:szCs w:val="28"/>
                <w:lang w:val="vi-VN"/>
              </w:rPr>
              <w:t xml:space="preserve"> và</w:t>
            </w:r>
            <w:r w:rsidRPr="008354C2">
              <w:rPr>
                <w:rFonts w:ascii="Times New Roman" w:eastAsia="Times New Roman" w:hAnsi="Times New Roman" w:cs="Times New Roman"/>
                <w:sz w:val="28"/>
                <w:szCs w:val="28"/>
              </w:rPr>
              <w:t xml:space="preserve"> </w:t>
            </w:r>
            <w:r w:rsidRPr="008354C2">
              <w:rPr>
                <w:rFonts w:ascii="Times New Roman" w:eastAsia="Times New Roman" w:hAnsi="Times New Roman" w:cs="Times New Roman"/>
                <w:sz w:val="28"/>
                <w:szCs w:val="28"/>
                <w:lang w:val="vi-VN"/>
              </w:rPr>
              <w:t xml:space="preserve">độ tin cậy phù hợp </w:t>
            </w:r>
            <w:r w:rsidRPr="008354C2">
              <w:rPr>
                <w:rFonts w:ascii="Times New Roman" w:eastAsia="Times New Roman" w:hAnsi="Times New Roman" w:cs="Times New Roman"/>
                <w:sz w:val="28"/>
                <w:szCs w:val="28"/>
              </w:rPr>
              <w:t>với hoạt đông k</w:t>
            </w:r>
            <w:r w:rsidRPr="008354C2">
              <w:rPr>
                <w:rFonts w:ascii="Times New Roman" w:eastAsia="Times New Roman" w:hAnsi="Times New Roman" w:cs="Times New Roman"/>
                <w:sz w:val="28"/>
                <w:szCs w:val="28"/>
                <w:lang w:val="vi-VN"/>
              </w:rPr>
              <w:t>inh doanh bảo hiểm.</w:t>
            </w:r>
          </w:p>
        </w:tc>
        <w:tc>
          <w:tcPr>
            <w:tcW w:w="6030" w:type="dxa"/>
          </w:tcPr>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a. Dung lượng bộ nhớ, CPU và đĩa cho mỗi hệ thống</w:t>
            </w:r>
            <w:r w:rsidRPr="008354C2">
              <w:rPr>
                <w:rFonts w:ascii="Times New Roman" w:eastAsia="Times New Roman" w:hAnsi="Times New Roman" w:cs="Times New Roman"/>
                <w:sz w:val="28"/>
                <w:szCs w:val="28"/>
              </w:rPr>
              <w:t xml:space="preserve"> </w:t>
            </w:r>
            <w:r w:rsidRPr="008354C2">
              <w:rPr>
                <w:rFonts w:ascii="Times New Roman" w:eastAsia="Times New Roman" w:hAnsi="Times New Roman" w:cs="Times New Roman"/>
                <w:sz w:val="28"/>
                <w:szCs w:val="28"/>
                <w:lang w:val="vi-VN"/>
              </w:rPr>
              <w:t>tương ứng với loại và phạm vi</w:t>
            </w:r>
            <w:r w:rsidRPr="008354C2">
              <w:rPr>
                <w:rFonts w:ascii="Times New Roman" w:eastAsia="Times New Roman" w:hAnsi="Times New Roman" w:cs="Times New Roman"/>
                <w:sz w:val="28"/>
                <w:szCs w:val="28"/>
              </w:rPr>
              <w:t xml:space="preserve"> </w:t>
            </w:r>
            <w:r w:rsidRPr="008354C2">
              <w:rPr>
                <w:rFonts w:ascii="Times New Roman" w:eastAsia="Times New Roman" w:hAnsi="Times New Roman" w:cs="Times New Roman"/>
                <w:sz w:val="28"/>
                <w:szCs w:val="28"/>
                <w:lang w:val="vi-VN"/>
              </w:rPr>
              <w:t xml:space="preserve">kinh doanh bảo hiểm </w:t>
            </w:r>
            <w:r w:rsidRPr="008354C2">
              <w:rPr>
                <w:rFonts w:ascii="Times New Roman" w:eastAsia="Times New Roman" w:hAnsi="Times New Roman" w:cs="Times New Roman"/>
                <w:sz w:val="28"/>
                <w:szCs w:val="28"/>
              </w:rPr>
              <w:t>dự kiến được</w:t>
            </w:r>
            <w:r w:rsidRPr="008354C2">
              <w:rPr>
                <w:rFonts w:ascii="Times New Roman" w:eastAsia="Times New Roman" w:hAnsi="Times New Roman" w:cs="Times New Roman"/>
                <w:sz w:val="28"/>
                <w:szCs w:val="28"/>
                <w:lang w:val="vi-VN"/>
              </w:rPr>
              <w:t xml:space="preserve"> phê duyệt</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b. Máy chủ khác nhau: máy chủ chính, máy chủ viễn thông,</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máy chủ tường lửa, máy chủ web (khi lập kế hoạch internet</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dịch vụ), vv</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c. LAN và mạng lưới giữa các nơi làm việc</w:t>
            </w:r>
          </w:p>
        </w:tc>
      </w:tr>
      <w:tr w:rsidR="00DE3B2F" w:rsidRPr="0064777E" w:rsidTr="00DE3B2F">
        <w:trPr>
          <w:jc w:val="center"/>
        </w:trPr>
        <w:tc>
          <w:tcPr>
            <w:tcW w:w="3415" w:type="dxa"/>
          </w:tcPr>
          <w:p w:rsidR="00DE3B2F" w:rsidRPr="008354C2" w:rsidRDefault="00DE3B2F" w:rsidP="001039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Hardware phải được trang bị với một hệ thống sao lưu</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p>
        </w:tc>
        <w:tc>
          <w:tcPr>
            <w:tcW w:w="6030" w:type="dxa"/>
          </w:tcPr>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a. Hệ thống sao lưu cho CPU, bộ nhớ chính, và các thiết bị chính khác</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b. Hệ thống dự phòng cho bộ điều khiển viễn thông</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c. cấu trúc đôi và đường vòng cho viễn thông mạch</w:t>
            </w:r>
          </w:p>
        </w:tc>
      </w:tr>
      <w:tr w:rsidR="00DE3B2F" w:rsidRPr="008354C2" w:rsidTr="00DE3B2F">
        <w:trPr>
          <w:jc w:val="center"/>
        </w:trPr>
        <w:tc>
          <w:tcPr>
            <w:tcW w:w="3415" w:type="dxa"/>
          </w:tcPr>
          <w:p w:rsidR="00DE3B2F" w:rsidRPr="008354C2" w:rsidRDefault="00DE3B2F" w:rsidP="001039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Trường hợp có sự cố, thiết bị công nghệ thông tin với chức năng cao sẽ nhanh chóng ngăn ngừa thiệt hại cho người mua bảo hiểm, vv ...trang bị.</w:t>
            </w:r>
          </w:p>
        </w:tc>
        <w:tc>
          <w:tcPr>
            <w:tcW w:w="6030" w:type="dxa"/>
          </w:tcPr>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a. Hệ thống để duy trì sự phù hợp dữ liệu trong trường hợp phục hồi sự cố hệ thống</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b. Đa cấu trúc cho mỗi hệ thống và máy chủ, và cấu trúc đôi cho mạng</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 Hệ thống sao lưu</w:t>
            </w:r>
            <w:r w:rsidRPr="008354C2">
              <w:rPr>
                <w:rFonts w:ascii="Times New Roman" w:eastAsia="Times New Roman" w:hAnsi="Times New Roman" w:cs="Times New Roman"/>
                <w:sz w:val="28"/>
                <w:szCs w:val="28"/>
              </w:rPr>
              <w:t>.</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 </w:t>
            </w:r>
          </w:p>
        </w:tc>
      </w:tr>
    </w:tbl>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lang w:val="vi-VN"/>
        </w:rPr>
      </w:pP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8"/>
          <w:szCs w:val="28"/>
          <w:lang w:val="vi-VN"/>
        </w:rPr>
      </w:pPr>
      <w:r w:rsidRPr="008354C2">
        <w:rPr>
          <w:rFonts w:ascii="Times New Roman" w:eastAsia="Times New Roman" w:hAnsi="Times New Roman" w:cs="Times New Roman"/>
          <w:b/>
          <w:i/>
          <w:sz w:val="28"/>
          <w:szCs w:val="28"/>
          <w:lang w:val="vi-VN"/>
        </w:rPr>
        <w:t>Hoạt động của thiết bị máy tính:</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8"/>
          <w:szCs w:val="28"/>
          <w:lang w:val="vi-VN"/>
        </w:rPr>
      </w:pPr>
    </w:p>
    <w:tbl>
      <w:tblPr>
        <w:tblStyle w:val="TableGrid21"/>
        <w:tblW w:w="9630" w:type="dxa"/>
        <w:tblInd w:w="-185" w:type="dxa"/>
        <w:tblLook w:val="04A0"/>
      </w:tblPr>
      <w:tblGrid>
        <w:gridCol w:w="4230"/>
        <w:gridCol w:w="5400"/>
      </w:tblGrid>
      <w:tr w:rsidR="00DE3B2F" w:rsidRPr="008354C2" w:rsidTr="00DE3B2F">
        <w:tc>
          <w:tcPr>
            <w:tcW w:w="4230" w:type="dxa"/>
          </w:tcPr>
          <w:p w:rsidR="00DE3B2F" w:rsidRPr="008354C2" w:rsidRDefault="00DE3B2F" w:rsidP="00DE3B2F">
            <w:pPr>
              <w:spacing w:before="120" w:after="120"/>
              <w:jc w:val="center"/>
              <w:rPr>
                <w:rFonts w:ascii="Times New Roman" w:hAnsi="Times New Roman" w:cs="Times New Roman"/>
                <w:b/>
                <w:sz w:val="28"/>
                <w:szCs w:val="28"/>
              </w:rPr>
            </w:pPr>
            <w:r w:rsidRPr="008354C2">
              <w:rPr>
                <w:rFonts w:ascii="Times New Roman" w:hAnsi="Times New Roman" w:cs="Times New Roman"/>
                <w:b/>
                <w:sz w:val="28"/>
                <w:szCs w:val="28"/>
                <w:shd w:val="clear" w:color="auto" w:fill="FFFFFF"/>
              </w:rPr>
              <w:t>Tiêu chí đánh giá</w:t>
            </w:r>
          </w:p>
        </w:tc>
        <w:tc>
          <w:tcPr>
            <w:tcW w:w="5400" w:type="dxa"/>
          </w:tcPr>
          <w:p w:rsidR="00DE3B2F" w:rsidRPr="008354C2" w:rsidRDefault="00DE3B2F" w:rsidP="00DE3B2F">
            <w:pPr>
              <w:spacing w:before="120" w:after="120"/>
              <w:jc w:val="center"/>
              <w:rPr>
                <w:rFonts w:ascii="Times New Roman" w:hAnsi="Times New Roman" w:cs="Times New Roman"/>
                <w:b/>
                <w:sz w:val="28"/>
                <w:szCs w:val="28"/>
              </w:rPr>
            </w:pPr>
            <w:r w:rsidRPr="008354C2">
              <w:rPr>
                <w:rFonts w:ascii="Times New Roman" w:hAnsi="Times New Roman" w:cs="Times New Roman"/>
                <w:b/>
                <w:sz w:val="28"/>
                <w:szCs w:val="28"/>
              </w:rPr>
              <w:t>Yêu cầu</w:t>
            </w:r>
          </w:p>
        </w:tc>
      </w:tr>
      <w:tr w:rsidR="00DE3B2F" w:rsidRPr="0064777E" w:rsidTr="00DE3B2F">
        <w:tc>
          <w:tcPr>
            <w:tcW w:w="423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rPr>
            </w:pPr>
            <w:r w:rsidRPr="008354C2">
              <w:rPr>
                <w:rFonts w:ascii="Times New Roman" w:hAnsi="Times New Roman" w:cs="Times New Roman"/>
                <w:sz w:val="28"/>
                <w:szCs w:val="28"/>
                <w:lang w:val="vi-VN"/>
              </w:rPr>
              <w:t>Các chương trình khác nhau sẽ được</w:t>
            </w:r>
            <w:r w:rsidRPr="008354C2">
              <w:rPr>
                <w:rFonts w:ascii="Times New Roman" w:hAnsi="Times New Roman" w:cs="Times New Roman"/>
                <w:sz w:val="28"/>
                <w:szCs w:val="28"/>
              </w:rPr>
              <w:t xml:space="preserve"> </w:t>
            </w:r>
            <w:r w:rsidRPr="008354C2">
              <w:rPr>
                <w:rFonts w:ascii="Times New Roman" w:hAnsi="Times New Roman" w:cs="Times New Roman"/>
                <w:sz w:val="28"/>
                <w:szCs w:val="28"/>
                <w:lang w:val="vi-VN"/>
              </w:rPr>
              <w:t>để tiến hành</w:t>
            </w:r>
            <w:r w:rsidRPr="008354C2">
              <w:rPr>
                <w:rFonts w:ascii="Times New Roman" w:hAnsi="Times New Roman" w:cs="Times New Roman"/>
                <w:sz w:val="28"/>
                <w:szCs w:val="28"/>
              </w:rPr>
              <w:t xml:space="preserve"> </w:t>
            </w:r>
            <w:r w:rsidRPr="008354C2">
              <w:rPr>
                <w:rFonts w:ascii="Times New Roman" w:hAnsi="Times New Roman" w:cs="Times New Roman"/>
                <w:sz w:val="28"/>
                <w:szCs w:val="28"/>
                <w:lang w:val="vi-VN"/>
              </w:rPr>
              <w:t>kinh doanh</w:t>
            </w:r>
            <w:r w:rsidRPr="008354C2">
              <w:rPr>
                <w:rFonts w:ascii="Times New Roman" w:hAnsi="Times New Roman" w:cs="Times New Roman"/>
                <w:sz w:val="28"/>
                <w:szCs w:val="28"/>
              </w:rPr>
              <w:t xml:space="preserve"> bảo hiểm</w:t>
            </w:r>
            <w:r w:rsidRPr="008354C2">
              <w:rPr>
                <w:rFonts w:ascii="Times New Roman" w:hAnsi="Times New Roman" w:cs="Times New Roman"/>
                <w:sz w:val="28"/>
                <w:szCs w:val="28"/>
                <w:lang w:val="vi-VN"/>
              </w:rPr>
              <w:t xml:space="preserve"> hiệu quả</w:t>
            </w:r>
            <w:r w:rsidRPr="008354C2">
              <w:rPr>
                <w:rFonts w:ascii="Times New Roman" w:hAnsi="Times New Roman" w:cs="Times New Roman"/>
                <w:sz w:val="28"/>
                <w:szCs w:val="28"/>
              </w:rPr>
              <w:t>.</w:t>
            </w:r>
          </w:p>
        </w:tc>
        <w:tc>
          <w:tcPr>
            <w:tcW w:w="540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a. Phát triển hợp đồng và bán hàng phần mềm</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b. Phát triển hỗ trợ quản lý và tài sản quản lý phần mềm</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c. Phát triển hiệu quả kinh doanh và tuyển dụng tổ chức phần mềm </w:t>
            </w:r>
          </w:p>
        </w:tc>
      </w:tr>
      <w:tr w:rsidR="00DE3B2F" w:rsidRPr="0064777E" w:rsidTr="00DE3B2F">
        <w:tc>
          <w:tcPr>
            <w:tcW w:w="423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Chính sách quản lý của công nghệ thông tin dữ liệu phải phù hợp.</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rFonts w:ascii="Times New Roman" w:hAnsi="Times New Roman" w:cs="Times New Roman"/>
                <w:sz w:val="28"/>
                <w:szCs w:val="28"/>
                <w:lang w:val="vi-VN"/>
              </w:rPr>
            </w:pPr>
          </w:p>
        </w:tc>
        <w:tc>
          <w:tcPr>
            <w:tcW w:w="540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Chính sách để quản lý quyền truy cập và hoạt động: chỉ định của người quản lý để đăng ký và sửa đổi mật khẩu, mã số và vv; truy cập không ghi âm phần mềm; các biện pháp để ngăn ngừa việc sử dụng sai lầm như hoạt động không được chấp thuận.</w:t>
            </w:r>
          </w:p>
        </w:tc>
      </w:tr>
      <w:tr w:rsidR="00DE3B2F" w:rsidRPr="0064777E" w:rsidTr="00DE3B2F">
        <w:tc>
          <w:tcPr>
            <w:tcW w:w="423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Các biện pháp bảo vệ người mua bảo hiểm từ nhiều sự cố hệ thống công nghệ thông tin và xuống cấp của hệ thống.</w:t>
            </w:r>
          </w:p>
        </w:tc>
        <w:tc>
          <w:tcPr>
            <w:tcW w:w="540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Kế hoạch khẩn cấp với các biện pháp kịp thời và thủ tục để phục hồi từ bất kỳ hệ thống trục trặc nào.</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p>
        </w:tc>
      </w:tr>
      <w:tr w:rsidR="00DE3B2F" w:rsidRPr="008354C2" w:rsidTr="00DE3B2F">
        <w:tc>
          <w:tcPr>
            <w:tcW w:w="4230" w:type="dxa"/>
          </w:tcPr>
          <w:p w:rsidR="00103963" w:rsidRPr="008354C2" w:rsidRDefault="00103963"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 xml:space="preserve">Hệ thống giám sát gồm một hệ thống an ninh được trang bị đầy đủ, phát triển và thay đổi hệ thống và công nghệ thông tin và  thông tin quan trọng. </w:t>
            </w:r>
          </w:p>
        </w:tc>
        <w:tc>
          <w:tcPr>
            <w:tcW w:w="540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a. Các hệ thống an ninh như tường lửa đôi để ngăn chặn hacking hoạt động hệ thống công nghệ thông tin,</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b. Cấu trúc đa hệ thống để đảm bảo an ninh các hệ thống bằng phương tiện xác nhận dữ liệu và</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rPr>
            </w:pPr>
            <w:r w:rsidRPr="008354C2">
              <w:rPr>
                <w:rFonts w:ascii="Times New Roman" w:hAnsi="Times New Roman" w:cs="Times New Roman"/>
                <w:sz w:val="28"/>
                <w:szCs w:val="28"/>
                <w:lang w:val="vi-VN"/>
              </w:rPr>
              <w:t>mã hóa</w:t>
            </w:r>
          </w:p>
        </w:tc>
      </w:tr>
    </w:tbl>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
          <w:sz w:val="28"/>
          <w:szCs w:val="28"/>
        </w:rPr>
      </w:pP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8"/>
          <w:szCs w:val="28"/>
        </w:rPr>
      </w:pPr>
      <w:r w:rsidRPr="008354C2">
        <w:rPr>
          <w:rFonts w:ascii="Times New Roman" w:eastAsia="Times New Roman" w:hAnsi="Times New Roman" w:cs="Times New Roman"/>
          <w:b/>
          <w:i/>
          <w:sz w:val="28"/>
          <w:szCs w:val="28"/>
          <w:lang w:val="vi-VN"/>
        </w:rPr>
        <w:t>Môi trường lắp đặt thiết bị máy tính</w:t>
      </w:r>
      <w:r w:rsidRPr="008354C2">
        <w:rPr>
          <w:rFonts w:ascii="Times New Roman" w:eastAsia="Times New Roman" w:hAnsi="Times New Roman" w:cs="Times New Roman"/>
          <w:b/>
          <w:i/>
          <w:sz w:val="28"/>
          <w:szCs w:val="28"/>
        </w:rPr>
        <w:t>:</w:t>
      </w:r>
    </w:p>
    <w:p w:rsidR="00DE3B2F" w:rsidRPr="008354C2" w:rsidRDefault="00DE3B2F" w:rsidP="00DE3B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tbl>
      <w:tblPr>
        <w:tblStyle w:val="TableGrid21"/>
        <w:tblW w:w="9720" w:type="dxa"/>
        <w:tblInd w:w="-275" w:type="dxa"/>
        <w:tblLook w:val="04A0"/>
      </w:tblPr>
      <w:tblGrid>
        <w:gridCol w:w="4320"/>
        <w:gridCol w:w="5400"/>
      </w:tblGrid>
      <w:tr w:rsidR="00DE3B2F" w:rsidRPr="0064777E" w:rsidTr="00DE3B2F">
        <w:tc>
          <w:tcPr>
            <w:tcW w:w="432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rPr>
            </w:pPr>
            <w:r w:rsidRPr="008354C2">
              <w:rPr>
                <w:rFonts w:ascii="Times New Roman" w:hAnsi="Times New Roman" w:cs="Times New Roman"/>
                <w:sz w:val="28"/>
                <w:szCs w:val="28"/>
                <w:lang w:val="vi-VN"/>
              </w:rPr>
              <w:t>Tòa nhà</w:t>
            </w:r>
            <w:r w:rsidR="004A41FA" w:rsidRPr="008354C2">
              <w:rPr>
                <w:rFonts w:ascii="Times New Roman" w:hAnsi="Times New Roman" w:cs="Times New Roman"/>
                <w:sz w:val="28"/>
                <w:szCs w:val="28"/>
              </w:rPr>
              <w:t xml:space="preserve"> </w:t>
            </w:r>
            <w:r w:rsidRPr="008354C2">
              <w:rPr>
                <w:rFonts w:ascii="Times New Roman" w:hAnsi="Times New Roman" w:cs="Times New Roman"/>
                <w:sz w:val="28"/>
                <w:szCs w:val="28"/>
                <w:lang w:val="vi-VN"/>
              </w:rPr>
              <w:t xml:space="preserve"> IT</w:t>
            </w:r>
            <w:r w:rsidRPr="008354C2">
              <w:rPr>
                <w:rFonts w:ascii="Times New Roman" w:hAnsi="Times New Roman" w:cs="Times New Roman"/>
                <w:sz w:val="28"/>
                <w:szCs w:val="28"/>
              </w:rPr>
              <w:t xml:space="preserve"> </w:t>
            </w:r>
            <w:r w:rsidRPr="008354C2">
              <w:rPr>
                <w:rFonts w:ascii="Times New Roman" w:hAnsi="Times New Roman" w:cs="Times New Roman"/>
                <w:sz w:val="28"/>
                <w:szCs w:val="28"/>
                <w:lang w:val="vi-VN"/>
              </w:rPr>
              <w:t>thiết bị được đặt sẽ được</w:t>
            </w:r>
            <w:r w:rsidRPr="008354C2">
              <w:rPr>
                <w:rFonts w:ascii="Times New Roman" w:hAnsi="Times New Roman" w:cs="Times New Roman"/>
                <w:sz w:val="28"/>
                <w:szCs w:val="28"/>
              </w:rPr>
              <w:t xml:space="preserve"> </w:t>
            </w:r>
            <w:r w:rsidRPr="008354C2">
              <w:rPr>
                <w:rFonts w:ascii="Times New Roman" w:hAnsi="Times New Roman" w:cs="Times New Roman"/>
                <w:sz w:val="28"/>
                <w:szCs w:val="28"/>
                <w:lang w:val="vi-VN"/>
              </w:rPr>
              <w:t>nằm trong khu vực có khả năng thảm họa</w:t>
            </w:r>
            <w:r w:rsidRPr="008354C2">
              <w:rPr>
                <w:rFonts w:ascii="Times New Roman" w:hAnsi="Times New Roman" w:cs="Times New Roman"/>
                <w:sz w:val="28"/>
                <w:szCs w:val="28"/>
              </w:rPr>
              <w:t xml:space="preserve"> ở mật độ thấp</w:t>
            </w:r>
          </w:p>
          <w:p w:rsidR="00DE3B2F" w:rsidRPr="008354C2" w:rsidRDefault="00DE3B2F" w:rsidP="004A41FA">
            <w:pPr>
              <w:spacing w:before="60" w:after="120"/>
              <w:rPr>
                <w:rFonts w:ascii="Times New Roman" w:hAnsi="Times New Roman" w:cs="Times New Roman"/>
                <w:b/>
                <w:sz w:val="28"/>
                <w:szCs w:val="28"/>
              </w:rPr>
            </w:pPr>
          </w:p>
        </w:tc>
        <w:tc>
          <w:tcPr>
            <w:tcW w:w="540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rPr>
            </w:pPr>
            <w:r w:rsidRPr="008354C2">
              <w:rPr>
                <w:rFonts w:ascii="Times New Roman" w:hAnsi="Times New Roman" w:cs="Times New Roman"/>
                <w:sz w:val="28"/>
                <w:szCs w:val="28"/>
              </w:rPr>
              <w:t xml:space="preserve">a. </w:t>
            </w:r>
            <w:r w:rsidRPr="008354C2">
              <w:rPr>
                <w:rFonts w:ascii="Times New Roman" w:hAnsi="Times New Roman" w:cs="Times New Roman"/>
                <w:sz w:val="28"/>
                <w:szCs w:val="28"/>
                <w:lang w:val="vi-VN"/>
              </w:rPr>
              <w:t>Môi trường</w:t>
            </w:r>
            <w:r w:rsidRPr="008354C2">
              <w:rPr>
                <w:rFonts w:ascii="Times New Roman" w:hAnsi="Times New Roman" w:cs="Times New Roman"/>
                <w:sz w:val="28"/>
                <w:szCs w:val="28"/>
              </w:rPr>
              <w:t xml:space="preserve">: </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rPr>
              <w:t xml:space="preserve">- </w:t>
            </w:r>
            <w:r w:rsidRPr="008354C2">
              <w:rPr>
                <w:rFonts w:ascii="Times New Roman" w:hAnsi="Times New Roman" w:cs="Times New Roman"/>
                <w:sz w:val="28"/>
                <w:szCs w:val="28"/>
                <w:lang w:val="vi-VN"/>
              </w:rPr>
              <w:t xml:space="preserve"> Không gian độc quyền cho các hoạt động liên quan đến hệ thống công nghệ thông tin.</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 Cơ sở vật chất chống cháy, ô nhiễm không khí và rung động thiên tai.</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 Thiết bị chống sét.</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b. Cấu trúc: Đảm bảo an toàn kết cấu của tòa nhà trọng lượng và tải trọng.</w:t>
            </w:r>
          </w:p>
        </w:tc>
      </w:tr>
      <w:tr w:rsidR="00DE3B2F" w:rsidRPr="0064777E" w:rsidTr="00DE3B2F">
        <w:tc>
          <w:tcPr>
            <w:tcW w:w="432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An toàn của cấu trúc, nội thất và tiện nghi của công nghệ thông tin phòng văn phòng vv được đảm bảo.</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rFonts w:ascii="Times New Roman" w:hAnsi="Times New Roman" w:cs="Times New Roman"/>
                <w:sz w:val="28"/>
                <w:szCs w:val="28"/>
                <w:lang w:val="vi-VN"/>
              </w:rPr>
            </w:pPr>
          </w:p>
        </w:tc>
        <w:tc>
          <w:tcPr>
            <w:tcW w:w="540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a. UPS (Uninterruptible Power Supply) thiết bị;</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b. Thiết bị nhiệt độ / độ ẩm liên tục</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c. Hệ thống báo cháy và hệ thống phun nước tự động</w:t>
            </w:r>
          </w:p>
        </w:tc>
      </w:tr>
      <w:tr w:rsidR="00DE3B2F" w:rsidRPr="0064777E" w:rsidTr="00DE3B2F">
        <w:tc>
          <w:tcPr>
            <w:tcW w:w="432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Chính sách an ninh thích hợp của văn phòng CNTT.</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rFonts w:ascii="Times New Roman" w:hAnsi="Times New Roman" w:cs="Times New Roman"/>
                <w:sz w:val="28"/>
                <w:szCs w:val="28"/>
                <w:lang w:val="vi-VN"/>
              </w:rPr>
            </w:pPr>
          </w:p>
        </w:tc>
        <w:tc>
          <w:tcPr>
            <w:tcW w:w="5400" w:type="dxa"/>
          </w:tcPr>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a. Thiết bị phát hiện xâm nhập và báo động;</w:t>
            </w:r>
          </w:p>
          <w:p w:rsidR="00DE3B2F" w:rsidRPr="008354C2" w:rsidRDefault="00DE3B2F" w:rsidP="004A41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5"/>
              <w:rPr>
                <w:rFonts w:ascii="Times New Roman" w:hAnsi="Times New Roman" w:cs="Times New Roman"/>
                <w:sz w:val="28"/>
                <w:szCs w:val="28"/>
                <w:lang w:val="vi-VN"/>
              </w:rPr>
            </w:pPr>
            <w:r w:rsidRPr="008354C2">
              <w:rPr>
                <w:rFonts w:ascii="Times New Roman" w:hAnsi="Times New Roman" w:cs="Times New Roman"/>
                <w:sz w:val="28"/>
                <w:szCs w:val="28"/>
                <w:lang w:val="vi-VN"/>
              </w:rPr>
              <w:t>b. Thiết bị kiểm soát truy cập: thiết bị kiểm soát truy cập như điện thoại, thẻ từ, thẻ IC, bộ nhập mật khẩu.</w:t>
            </w:r>
          </w:p>
        </w:tc>
      </w:tr>
    </w:tbl>
    <w:p w:rsidR="00DE3B2F" w:rsidRPr="008354C2" w:rsidRDefault="00DE3B2F" w:rsidP="00DE3B2F">
      <w:pPr>
        <w:spacing w:after="160" w:line="360" w:lineRule="exact"/>
        <w:jc w:val="both"/>
        <w:rPr>
          <w:rFonts w:ascii="Times New Roman" w:eastAsia="Arial" w:hAnsi="Times New Roman" w:cs="Times New Roman"/>
          <w:sz w:val="28"/>
          <w:szCs w:val="28"/>
          <w:lang w:val="vi-VN"/>
        </w:rPr>
      </w:pPr>
    </w:p>
    <w:p w:rsidR="00DE3B2F" w:rsidRPr="008354C2" w:rsidRDefault="00DE3B2F" w:rsidP="00DE3B2F">
      <w:pPr>
        <w:spacing w:after="160" w:line="360" w:lineRule="exact"/>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1.4. Hồ</w:t>
      </w:r>
      <w:r w:rsidR="00AD54CB" w:rsidRPr="008354C2">
        <w:rPr>
          <w:rFonts w:ascii="Times New Roman" w:eastAsia="Arial" w:hAnsi="Times New Roman" w:cs="Times New Roman"/>
          <w:b/>
          <w:sz w:val="28"/>
          <w:szCs w:val="28"/>
          <w:lang w:val="vi-VN"/>
        </w:rPr>
        <w:t>ng Kông</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Internet đã trở thành động lực chính của thương mại điện tử đương đại. Việc sử dụng Internet ngày càng tăng trong thế giới kinh doanh, ở một mức độ khác nhau, đã mở rộng và xác định lại phạm vi của các giao dịch và dịch vụ kinh doanh. ngành bảo hiểm hoàn toàn không bị tụt hậu trong việc thu hút internet như một phương tiện thay thế để tiến hành kinh doanh, đặc biệt là tiếp thị các sản phẩm bảo hiểm và phục vụ khách hàng. Các loại trang web liên quan đến bảo hiểm khác nhau, được quảng cáo bởi các công ty bảo hiểm được ủy quyền, các trung gian bảo hiểm hoặc các bên khác, đã xuất hiện trên thị trường. Một số trang web đề cập đến một công ty bảo hiểm được ủy quyền hoặc một nhóm công ty bảo hiểm được ủy quyền, trong khi những trang web khác ở dạng siêu thị trong đó một số công ty bảo hiểm được ủy quyền tham gia. Các dịch vụ được cung cấp có tính mở rộng, chẳng hạn như giới thiệu các công ty bảo hiểm được ủy quyền và các sản phẩm tương ứng của họ, so sánh tóm tắt về một loại sản phẩm cụ thể được cung cấp bởi các công ty bảo hiểm được ủy quyền khác nhau, thu phí bảo hiểm, xử lý các khiếu nại và cung cấp thông tin về xếp hạng tín nhiệm của công ty bảo hiểm, v.v. Người ta nhận thấy rằng có một số trang web khác cung cấp các dịch vụ bảo hiểm liên kết trong quá trình thực hiện hoạt động kinh doanh chính về bản chất là phi bảo hiểm.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Cơ quan quản lý bảo hiểm lưu ý rằng internet là một trong những kênh để các công ty bảo hiểm và trung gian bảo hiểm được ủy quyền, v.v. để thực hiện kinh doanh và cung cấp dịch vụ cho các chủ hợp đồng hiện có và tiềm năng. Do đó, khi tiến hành kinh doanh bảo hiểm qua internet, các bên liên quan phải tuân thủ Pháp lệnh Bảo hiểm (Cap.41) và các hướng dẫn quy định khác hoặc các quy tắc tượng tự như đối với hoạt động kinh doanh theo cách thông thường. Cân nhắc đến các tính năng đặc biệt của Internet để phân biệt với các kênh phân phối thông thường, Hướng dẫn thí nghiệm, được ban hành theo mục 133 của Thông tư, nhằm thu hút sự chú ý của các nhà cung cấp dịch vụ khác nhau đến những điểm cụ thể mà họ cần lưu ý khi tham gia vào các hoạt động bảo hiểm internet. Mục đích của Hướng dẫn này là nhằm bảo vệ công chúng được bảo hiểm tốt hơn và đảm bảo sự phát triển lành mạnh của ngành bảo hiểm trong thời đại công nghệ thông tin mới.</w:t>
      </w:r>
    </w:p>
    <w:p w:rsidR="00DE3B2F" w:rsidRPr="008354C2" w:rsidRDefault="00DE3B2F" w:rsidP="00DE3B2F">
      <w:pPr>
        <w:spacing w:after="60" w:line="360" w:lineRule="exact"/>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 xml:space="preserve">Các quy định cụ thể như sau: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Yêu cầu đối với các bên cung cấp sản phẩm, dịch vụ bảo hiểm qua môi trường mạng.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Các bên cung cấp sản phẩm, dịch vụ bảo hiểm qua môi trường mạngphải đáp ứng các yêu cầu tối thiểu sau đây.</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Đối với các giao dịch bảo hiểm có ứng dụng công nghệ cao do tổ chức kinh doanh bảo hiểm trực tiếp triển khai hoặc sử dụng tổ chức khác, tổ chức kinh doanh bảo hiểm phải đảm bảo: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a. Đáp ứng các quy định tại khoản 1 Điều này;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b. Công khai đầy đủ thông tin về tổ chức kinh doanh bảo hiểm, về sản phẩm bảo hiểm, quy tắc, điều khoản, biểu phí bảo hiểm, các hồ sơ yêu cầu bảo hiểm, các thông tin quan trọng cần lưu ý tương ứng với từng sản phẩm bảo hiểm; hồ sơ và thủ tục giải quyết quyền lợi bảo hiểm trên trang web của tổ chức kinh doanh bảo hiểm hoặc ứng dụng di động;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c. Có hệ thống tự động hiển thị toàn bộ nội dung sản phẩm tương ứng sau khi bên mua bảo hiểm nhập thông tin, dữ liệu, nhu cầu bảo hiểm và các thông tin quan trọng cần lưu ý khi tham gia bảo hiểm để khách hàng biết và ký xác nhận.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d. Có quy trình, thủ tục yêu cầu bảo hiểm và xác định đầy đủ thông tin, danh tính của bên mua bảo hiểm, người được bảo hiểm, người thụ hưởng trước khi bên mua bảo hiểm hoàn thành việc yêu cầu bảo hiểm;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đ. Đáp ứng quy định pháp luật về giao dịch điện tử, về an ninh mạng, về phòng chống rửa tiền và hợp đồng bảo hiểm theo quy định của Luật này;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e.  Trường hợp ủy quyền cho tổ chức khác, tổ chức kinh doanh bảo hiểm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phải: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Đáp ứng quy định về dịch vụ thuê ngoài tại Điều   Luật này. Hợp đồng dịch vụ phải quy định rõ trách nhiệm của tổ chức cung cấp dịch vụ, bao gồm bảo mật thông tin khách hàng;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Kiểm tra, đảm bảo tổ chức đáp ứng các yêu cầu theo quy định tại Luật này;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Có quy trình, quy chế nhằm kiểm soát, giảm thiểu rủi ro phát sinh từ việc ủy quyền cho tổ chức khác.</w:t>
      </w:r>
    </w:p>
    <w:p w:rsidR="00DE3B2F" w:rsidRPr="008354C2" w:rsidRDefault="00DE3B2F" w:rsidP="00DE3B2F">
      <w:pPr>
        <w:spacing w:after="60" w:line="360" w:lineRule="exact"/>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 xml:space="preserve">Cung cấp dịch vụ bảo hiểm qua internet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Các dịch vụ liên quan đến bảo hiểm được thực hiện toàn bộ hoặc một phần qua Internet, bao gồm nhưng không giới hạn như sau: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Hiển thị thông tin về tổ chức kinh doanh bảo hiểm và thông tin về các sản phẩm, dịch vụ bảo hiểm của các tổ chức này;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Tư vấn về quy tắc, điều khoản, của một số sản phẩm bảo hiểm theo hướng dẫn của Bộ Tài chính hoặc nhu cầu bảo hiểm của khách hàng và các vấn đề khác có liên quan;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Cung cấp mức phí bảo hiểm của một sản phẩm bảo hiểm cụ thể do một hoặc một số tổ chức kinh doanh bảo hiểm triển khai;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Thực hiện so sánh phí bảo hiểm và điều khoản tương ứng của cùng loại sản phẩm bảo hiểm của các tổ chức kinh doanh bảo hiểm khác nhau;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Thực hiện việc mời chào và thu thập thông tin cá nhân của khách hàng với mục đích cung cấp dịch vụ bảo hiểm;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Thực hiện giao dịch thu phí bảo hiểm;</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Cấp hoặc sửa đổi, bổ sung hợp đồng bảo hiểm;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Cung cấp dịch vụ cho khách hàng về yêu cầu cung cấp thông tin, cập nhật thông tin cá nhân hoặc thông báo sự kiện bảo hiểm, v.v.;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Xử lý các khiếu nại hoặc vấn đề bảo hiểm;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Thực hiện hoàn phí bảo hiểm, chi trả quyền lợi bảo hiểm hoặc yêu cầu thanh toán cho khách hàng. </w:t>
      </w:r>
    </w:p>
    <w:p w:rsidR="00DE3B2F" w:rsidRPr="008354C2" w:rsidRDefault="00DE3B2F" w:rsidP="00DE3B2F">
      <w:pPr>
        <w:spacing w:after="60" w:line="360" w:lineRule="exact"/>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Yêu cầu đối với tổ chức cung ứng dịch vụ bảo hiểm qua internet:</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Là tổ chức kinh doanh bảo hiểm, doanh nghiệp môi giới bảo hiểm được Bộ Tài chính cấp phép;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Đại lý bảo hiểm, tổ chức cung cấp dịch vụ bảo hiểm đáp ứng điều kiện theo quy định tại Luật này, quy định về dịch vụ thuê ngoài theo quy định tại Điều Luật này và được tổ chức kinh doanh bảo hiểm ủy quyền.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Xác định danh tính của tổ chức cung cấp dịch vụ bảo hiểm qua internet: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Tổ chức cung cấp dịch vụ phải cung cấp rõ ràng thông tin của tổ chức;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Kinh doanh bảo hiểm ủy quyền cung cấp dịch vụ trên trang web của chính mình;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Tổ chức cung cấp dịch vụ phải cung cấp thông tin liên hệ, bao gồm tên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đầy đủ, địa chỉ văn phòng, địa chỉ e-mail, số điện thoại và số fax.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Về an ninh mạng: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Trong việc thu thập, xử lý và lưu trữ thông tin cá nhân của khách hàng qua Internet, tổ chức cung cấp dịch vụ phải thực hiện tất cả các bước để bảo vệ quyền riêng tư của khách hàng; không được truy cập hoặc sử dụng trái phép.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Tổ chức cung cấp dịch vụ qua internet có trách nhiệm tuân thủ và đáp ứng quy định pháp luật về an ninh mạng.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Tổ chức cung cấp dịch vụ phải thực hiện tất cả các bước sau để đảm bảo: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Thực hiện một loạt các biện pháp bảo đảm an toàn của hợp đồng bảo hiểm phù hợp với những tiến bộ của công nghệ an toàn internet;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Cơ chế lưu trữ dữ liệu trong hệ thống phần cứng trong khi chuyển giao và thể hiện trên trang web;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Thủ tục backup dữ liệu và phần mềm ứng dụng phù hợp;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Thông tin cá nhân khách hàng (bao gồm cả mã bảo mật, nếu có) phải được bảo vệ trước các thiệt hai, truy cập, sử dụng, sửa đổi, tiết lộ không đúng quy định;</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Chữ ký điện tử khách hàng phải được kiểm chứng;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Hệ thống thanh toán điện tử phải được bảo đảm an toàn;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Hợp đồng bảo hiểm có hiệu lực không được phép hủy ngang do lỗi thao tác máy tính.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Tổ chức cung cấp dịch vụ phải thể hiện báo cáo/ thông báo về hệ thống an toàn bảo hiểm trên trang điện tử cho các khách hàng được biết. </w:t>
      </w:r>
    </w:p>
    <w:p w:rsidR="00DE3B2F" w:rsidRPr="008354C2" w:rsidRDefault="00DE3B2F" w:rsidP="00DE3B2F">
      <w:pPr>
        <w:spacing w:after="60" w:line="360" w:lineRule="exact"/>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 Quy định liê</w:t>
      </w:r>
      <w:r w:rsidR="004A41FA" w:rsidRPr="008354C2">
        <w:rPr>
          <w:rFonts w:ascii="Times New Roman" w:eastAsia="Arial" w:hAnsi="Times New Roman" w:cs="Times New Roman"/>
          <w:b/>
          <w:sz w:val="28"/>
          <w:szCs w:val="28"/>
          <w:lang w:val="vi-VN"/>
        </w:rPr>
        <w:t>n quan đến đại lý bảo hiểm</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2.1. Trung Quốc</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Luật kinh doanh bảo hiểm Trung Quốc quy định như sau: “</w:t>
      </w:r>
      <w:r w:rsidRPr="008354C2">
        <w:rPr>
          <w:rFonts w:ascii="Times New Roman" w:eastAsia="Arial" w:hAnsi="Times New Roman" w:cs="Times New Roman"/>
          <w:i/>
          <w:sz w:val="28"/>
          <w:szCs w:val="28"/>
          <w:lang w:val="vi-VN"/>
        </w:rPr>
        <w:t>Đại Lý bảo hiểm nhân thọ không được làm đại lý cho từ hai công ty bảo hiểm nhân thọ trở lên” (Điều 125).</w:t>
      </w:r>
      <w:r w:rsidRPr="008354C2">
        <w:rPr>
          <w:rFonts w:ascii="Times New Roman" w:eastAsia="Arial" w:hAnsi="Times New Roman" w:cs="Times New Roman"/>
          <w:sz w:val="28"/>
          <w:szCs w:val="28"/>
          <w:lang w:val="vi-VN"/>
        </w:rPr>
        <w:t xml:space="preserve">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b/>
          <w:sz w:val="28"/>
          <w:szCs w:val="28"/>
          <w:lang w:val="vi-VN"/>
        </w:rPr>
        <w:t>2.2. Hồng Kông</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Luật kinh doanh bảo Hồng Kông hiểm quy định</w:t>
      </w:r>
      <w:r w:rsidRPr="008354C2">
        <w:rPr>
          <w:rFonts w:ascii="Times New Roman" w:eastAsia="Arial" w:hAnsi="Times New Roman" w:cs="Times New Roman"/>
          <w:i/>
          <w:sz w:val="28"/>
          <w:szCs w:val="28"/>
          <w:lang w:val="vi-VN"/>
        </w:rPr>
        <w:t>: “Một đại lý bảo hiểm có thể được ủy quyền làm đại lý cho tối đa 4 doanh nghiệp, trong đó không quá 2 doanh nghiệp bảo hiểm nhân thọ”</w:t>
      </w:r>
      <w:r w:rsidRPr="008354C2">
        <w:rPr>
          <w:rFonts w:ascii="Times New Roman" w:eastAsia="Arial" w:hAnsi="Times New Roman" w:cs="Times New Roman"/>
          <w:sz w:val="28"/>
          <w:szCs w:val="28"/>
          <w:lang w:val="vi-VN"/>
        </w:rPr>
        <w:t xml:space="preserve">. </w:t>
      </w:r>
    </w:p>
    <w:p w:rsidR="00DE3B2F" w:rsidRPr="008354C2" w:rsidRDefault="00966019" w:rsidP="00DE3B2F">
      <w:pPr>
        <w:spacing w:after="60" w:line="360" w:lineRule="exact"/>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2.3. Myanmar</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Luật kinh doanh bảo hiểm Myanmar quy định: “Đại lý bảo hiểm nhân thọ không được làm đại lý cho quá 2 công ty bảo hiểm nhân thọ. Đại lý bảo hiểm phi nhân thọ không được làm đại lý cho quá 3 công ty bảo hiểm phi nhân thọ”.</w:t>
      </w:r>
    </w:p>
    <w:p w:rsidR="00DE3B2F" w:rsidRPr="008354C2" w:rsidRDefault="00DE3B2F" w:rsidP="00DE3B2F">
      <w:pPr>
        <w:spacing w:after="60" w:line="360" w:lineRule="exact"/>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 Quy định liên quan đến doanh nghiệp môi giới bảo hiể</w:t>
      </w:r>
      <w:r w:rsidR="00966019" w:rsidRPr="008354C2">
        <w:rPr>
          <w:rFonts w:ascii="Times New Roman" w:eastAsia="Arial" w:hAnsi="Times New Roman" w:cs="Times New Roman"/>
          <w:b/>
          <w:sz w:val="28"/>
          <w:szCs w:val="28"/>
          <w:lang w:val="vi-VN"/>
        </w:rPr>
        <w:t>m</w:t>
      </w:r>
    </w:p>
    <w:p w:rsidR="00DE3B2F" w:rsidRPr="008354C2" w:rsidRDefault="00AD54CB" w:rsidP="00DE3B2F">
      <w:pPr>
        <w:spacing w:after="60" w:line="360" w:lineRule="exact"/>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3.1. Malaysia</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Tại Malaysia, luật dịch vụ tài chính Malaysia quy định: Người môi giới bảo hiểm được cấp phép, chuyên gia tư vấn tài chính được cấp phép và người phát hành công cụ thanh toán được cấp phép thiết lập tài khoản khách hàng.</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(1) Khi:</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Người môi giới bảo hiểm được cấp phép hoặc chuyên gia tư vấn tài chính được cấp phép nhận tiền;</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từ hoặc thay cho công ty bảo hiểm hoặc công ty bảo hiểm tiềm năng hoặc vì lợi ích của công ty bảo hiểm được cấp phép liên quan đến hợp đồng bảo hiểm hoặc hợp đồng bảo hiểm được đề xuất hoặc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từ hoặc thay cho công ty bảo hiểm được cấp phép vì lợi ích của công ty hoặc</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Người được cấp phép phát hành công cụ thanh toán chỉ định như được quy định bởi Ngân hàng, nhận tiền từ hoặc thay cho người dùng của mình đổi cho công cụ thanh toán được phát hành,</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Chiểu theo mục này, Người được cấp phép đó phải thiết lập và duy trì một hoặc nhiều tài khoản tách biệt với tài khoản của mình cho khách hàng của mình tại một Ngân hàng được cấp phép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(2) Chiểu theo tiểu mục (1):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Quyền nắm giữ hoặc khiếu nại hoặc quyền bù trừ, tiền trong bất cứ tài khoản nào được thiết lập cho khách hàng theo tiểu mục (1) sẽ vô hiệu trừ khi tiền đó là tiền phí và nợ người được cấp phép và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Tiền phải trả, thế chấp hoặc tịch biên tài sản trong tài khoản được thiết lập cho khách hàng theo tiểu mục (1) sẽ vô hiệu.</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Tiền trong tài khoản được thiết lập cho khách hàng theo tiểu mục (1) được giữ theo ủy thác bởi người được cấp phép vì lợi ích của khách hàng.</w:t>
      </w:r>
    </w:p>
    <w:p w:rsidR="00DE3B2F" w:rsidRPr="008354C2" w:rsidRDefault="00DE3B2F" w:rsidP="00DE3B2F">
      <w:pPr>
        <w:spacing w:after="60" w:line="360" w:lineRule="exact"/>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3.2. Hàn Quố</w:t>
      </w:r>
      <w:r w:rsidR="00966019" w:rsidRPr="008354C2">
        <w:rPr>
          <w:rFonts w:ascii="Times New Roman" w:eastAsia="Arial" w:hAnsi="Times New Roman" w:cs="Times New Roman"/>
          <w:b/>
          <w:sz w:val="28"/>
          <w:szCs w:val="28"/>
          <w:lang w:val="vi-VN"/>
        </w:rPr>
        <w:t>c</w:t>
      </w:r>
    </w:p>
    <w:p w:rsidR="00DE3B2F" w:rsidRPr="008354C2" w:rsidRDefault="00DE3B2F" w:rsidP="00DE3B2F">
      <w:pPr>
        <w:spacing w:after="60" w:line="360" w:lineRule="exact"/>
        <w:jc w:val="both"/>
        <w:rPr>
          <w:rFonts w:ascii="Times New Roman" w:eastAsia="Arial" w:hAnsi="Times New Roman" w:cs="Times New Roman"/>
          <w:i/>
          <w:sz w:val="28"/>
          <w:szCs w:val="28"/>
          <w:lang w:val="vi-VN"/>
        </w:rPr>
      </w:pPr>
      <w:r w:rsidRPr="008354C2">
        <w:rPr>
          <w:rFonts w:ascii="Times New Roman" w:eastAsia="Arial" w:hAnsi="Times New Roman" w:cs="Times New Roman"/>
          <w:i/>
          <w:sz w:val="28"/>
          <w:szCs w:val="28"/>
          <w:lang w:val="vi-VN"/>
        </w:rPr>
        <w:t>Điều 4 – 29 (Mở và giám sát tài khoản môi giới bảo hiểm):</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(1) Nhà môi giới bảo hiểm được cấp phép mở tài khoản độc quyền (tài khoản riêng để môi giới hợp đồng bảo hiểm gốc và môi giới hợp đồng tái bảo hiểm) quản lý mọi giao dịch tài chính liên quan đến nghiệp vụ môi giới bảo hiểm (sau đây gọi tắt là “tài khoản riêng”) bao gồm cả việc chi trả hoa hồng môi giới để thực hiện hợp đồng bảo hiểm, thanh toán phí bảo hiểm cho công ty bảo hiểm khi bắt đầu hoạt động kinh doanh, và báo cáo ngay lập tức cho Chủ tịch. Các điều trên cũng sẽ áp dụng khi một tài khoản độc quyền bị thay đổi hoặc khoá. Các quỹ liên quan đến môi giới hợp đồng bảo hiểm gốc và môi giới hợp đồng tái bảo hiểm được tách riêng để hạch toán.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(2) Một nhà môi giới bảo hiểm được cấp phép phải gửi tất cả thu nhập (bao gồm cả phí bảo hiểm nhận được) liên quan đến việc kinh doanh môi giới bảo hiểm vào tài khoản riêng đã đề cập ở trên.</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(3) Nhà môi giới bảo hiểm được cấp phép phải trả phí bảo hiểm mà nhà môi giới đã nhận được từ người tham gia bảo hiểm liên quan đến môi giới hợp đồng bảo hiểm gốc, cho công ty bảo hiểm có liên quan trong cùng ngày, trong khi đó nhà môi giới bảo hiểm được cấp phép phải trả phí tái bảo hiểm ngay lập tức mà nhà môi giới đã nhận được từ một công ty nhượng quyền và tiền bảo hiểm mà nhà môi giới đã nhận được từ một công ty tái bảo hiểm liên quan đến môi giới tái bảo hiểm, trừ trường hợp ngoại lệ: Miễn là, điều đã nói ở trên sẽ không được áp dụng khi một thỏa thuận đặc biệt được thực hiện với công ty bảo hiểm. &lt;Sửa đổi ngày 28 tháng 9 năm 2012&gt;</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(4) Nhà môi giới bảo hiểm được cấp phép phải lập chứng từ sẵn có chứng minh việc rút tiền hoặc tiền gửi từ tài khoản riêng liên quan đến phí nhận được từ người tham gia bảo hiểm, trung gian, tiền lãi, và duy trì tài khoản riêng (mức phí và chứng từ hợp đồng bảo hiểm có sẵn để rút phí). Một nhà môi giới bảo hiểm được cấp phép có thể thực hiện các khoản thanh toán thích hợp cho doanh nghiệp môi giới bảo hiểm đối với người được bảo hiểm và công ty bảo hiểm thông qua tài khoản riêng.</w:t>
      </w:r>
      <w:r w:rsidRPr="008354C2">
        <w:rPr>
          <w:rFonts w:ascii="Times New Roman" w:eastAsia="Arial" w:hAnsi="Times New Roman" w:cs="Times New Roman"/>
          <w:sz w:val="28"/>
          <w:szCs w:val="28"/>
          <w:lang w:val="vi-VN"/>
        </w:rPr>
        <w:tab/>
      </w:r>
    </w:p>
    <w:p w:rsidR="00DE3B2F" w:rsidRPr="008354C2" w:rsidRDefault="00966019" w:rsidP="00DE3B2F">
      <w:pPr>
        <w:spacing w:after="60" w:line="360" w:lineRule="exact"/>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3.3. Singapore</w:t>
      </w:r>
    </w:p>
    <w:p w:rsidR="00DE3B2F" w:rsidRPr="008354C2" w:rsidRDefault="00DE3B2F" w:rsidP="00DE3B2F">
      <w:pPr>
        <w:spacing w:after="60" w:line="360" w:lineRule="exact"/>
        <w:jc w:val="both"/>
        <w:rPr>
          <w:rFonts w:ascii="Times New Roman" w:eastAsia="Arial" w:hAnsi="Times New Roman" w:cs="Times New Roman"/>
          <w:b/>
          <w:sz w:val="28"/>
          <w:szCs w:val="28"/>
          <w:lang w:val="vi-VN"/>
        </w:rPr>
      </w:pPr>
      <w:r w:rsidRPr="008354C2">
        <w:rPr>
          <w:rFonts w:ascii="Times New Roman" w:eastAsia="Arial" w:hAnsi="Times New Roman" w:cs="Times New Roman"/>
          <w:sz w:val="28"/>
          <w:szCs w:val="28"/>
          <w:lang w:val="vi-VN"/>
        </w:rPr>
        <w:t>Luật bảo hiểm quy định:</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(1) Theo mục (2), mọi nhà môi giới bảo hiểm đã đăng ký theo đó nhận bất kỳ khoản tiền nào: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từ hoặc thay mặt cho người được bảo hiểm hoặc có ý định bảo hiểm hoặc cho tài khoản của một công ty bảo hiểm liên quan đến hợp đồng bảo hiểm hoặc hợp đồng bảo hiểm được đề xuất; hoặc là</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từ hoặc đại diện cho một công ty bảo hiểm cho hoặc trên tài khoản của người được bảo hiểm hoặc có ý định bảo hiểm, sẽ thiết lập và duy trì một tài khoản riêng với ngân hàng được cấp phép theo Luật Ngân hàng (Phụ lục 19) cho mục đích của phần này.</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(2) Trong trường hợp nhà môi giới bảo hiểm được đăng ký theo điều 35X để thực hiện kinh doanh theo nhiều loại hình môi giới bảo hiểm, nó sẽ thiết lập và duy trì các tài khoản riêng biệt với một ngân hàng được cấp phép theo Luật Ngân hàng về việc thực hiện kinh doanh của từng loại môi giới bảo hiểm mà nó đăng ký.</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(3) Cơ quan quản lý có thể quy định, liên quan đến một tài khoản được thành lập theo mục (1) hoặc (2):</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(a) loại tiền được gửi vào hoặc rút từ tài khoản đó;</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(b) cách thức gửi tiền vào hoặc rút tiền từ tài khoản đó;</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 cách thức mà các khoản tiền được giữ trong tài khoản đó sẽ được đầu tư;</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(d) cách thức mà số tiền thu được từ việc đầu tư các khoản tiền trong tài khoản đó được phân phối;</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(e) các quyền và nghĩa vụ của bất kỳ bên nào liên quan đến các khoản tiền được giữ trong tài khoản đó; và</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(f) bất kỳ vấn đề nào khác mà Cơ quan quản lý coi là ngẫu nhiên hoặc cần thiết cho phần này.</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(4) Quyền giữ lại hoặc yêu cầu tiền gửi trong bất kỳ tài khoản nào được thiết lập bởi bất kỳ nhà môi giới bảo hiểm nào được đăng ký theo mục (1) hoặc (2) sẽ bị hủy, trừ khi tiền trong tài khoản là phí đến hạn và do nhà môi giới bảo hiểm đã đăng ký.</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(5) Khoản phí hoặc thế chấp trên các khoản tiền gửi trong bất kỳ tài khoản nào được thành lập bởi bất kỳ nhà môi giới bảo hiểm đã đăng ký nào theo mục (1) hoặc (2) sẽ bị vô hiệu.</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(6) Bất kỳ nhà môi giới bảo hiểm đã đăng ký nào làm trái với mục (1) hoặc (2) sẽ bị kết tội và sẽ phải chịu khoản phạt với số tiền không vượt quá 100.000 đô-la.</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(7) Trong phần này, “tiền” nghĩa là bất kỳ khoản tiền nào được một nhà môi giới bảo hiểm đã đăng ký làm đại lý cho người được bảo hiểm hoặc dự định bảo hiểm, bao gồm các khoản thanh toán đơn bảo hiểm, phí bảo hiểm và yêu cầu thanh toán.</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(1) công ty bảo hiểm sẽ không thanh toán cho nhà môi giới bảo hiểm đã đăng ký và nhà môi giới bảo hiểm đã đăng ký không nhận được từ công ty bảo hiểm đối với việc bố trí hoặc thực hiện hợp đồng bảo hiểm của nhà môi giới bảo hiểm với công ty bảo hiểm, thù lao theo tỷ lệ hoặc trên cơ sở đã được thay đổi, chỉ quan tâm đến tất cả hoặc bất kỳ điều nào sau đây:</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(a) số lượng hợp đồng được bố trí hoặc thực hiện;</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(b) tổng số tiền phí bảo hiểm đã thanh toán hoặc phải trả theo hợp đồng đó;</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 tổng số tiền được bảo hiểm theo hợp đồng đó.</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(2) Mục (1) không áp dụng đối với việc nhận và trả lợi nhuận hoa hồng.</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(3) Bất kỳ người nào làm trái với mục (1) sẽ bị kết tội và sẽ phải chịu khoản phạt với số tiền không vượt quá 50.000 đô-la hoặc phạt tù không quá 12 tháng hoặc cả hai. Trong trường hợp tiếp tục vi phạm, người đó sẽ phải nộp thêm thêm một khoản tiền phạt không vượt quá 5.000 đô-la/ngày hoặc một phần số tiền đó do tiếp tục vi phạm sau khi bị kết án </w:t>
      </w:r>
    </w:p>
    <w:p w:rsidR="00DE3B2F" w:rsidRPr="008354C2" w:rsidRDefault="00DE3B2F" w:rsidP="00DE3B2F">
      <w:pPr>
        <w:spacing w:after="60" w:line="360" w:lineRule="exact"/>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Phần này không áp dụng cho các công ty môi giới tái bảo hiểm và tái bảo hiểm nhân thọ nói chung đối với các hợp đồng tái bảo hiểm các khoản nợ theo hợp đồng bảo hiểm.</w:t>
      </w:r>
    </w:p>
    <w:p w:rsidR="00966019" w:rsidRPr="008354C2" w:rsidRDefault="00966019" w:rsidP="00DE3B2F">
      <w:pPr>
        <w:spacing w:after="60" w:line="360" w:lineRule="exact"/>
        <w:jc w:val="both"/>
        <w:rPr>
          <w:rFonts w:ascii="Times New Roman" w:eastAsia="Arial" w:hAnsi="Times New Roman" w:cs="Times New Roman"/>
          <w:sz w:val="28"/>
          <w:szCs w:val="28"/>
          <w:lang w:val="vi-VN"/>
        </w:rPr>
      </w:pPr>
    </w:p>
    <w:p w:rsidR="00825B1A" w:rsidRPr="008354C2" w:rsidRDefault="00825B1A" w:rsidP="00DE3B2F">
      <w:pPr>
        <w:spacing w:after="60" w:line="360" w:lineRule="exact"/>
        <w:jc w:val="both"/>
        <w:rPr>
          <w:rFonts w:ascii="Times New Roman" w:eastAsia="Arial" w:hAnsi="Times New Roman" w:cs="Times New Roman"/>
          <w:sz w:val="28"/>
          <w:szCs w:val="28"/>
          <w:lang w:val="vi-VN"/>
        </w:rPr>
      </w:pPr>
    </w:p>
    <w:p w:rsidR="00825B1A" w:rsidRPr="008354C2" w:rsidRDefault="00825B1A" w:rsidP="00DE3B2F">
      <w:pPr>
        <w:spacing w:after="60" w:line="360" w:lineRule="exact"/>
        <w:jc w:val="both"/>
        <w:rPr>
          <w:rFonts w:ascii="Times New Roman" w:eastAsia="Arial" w:hAnsi="Times New Roman" w:cs="Times New Roman"/>
          <w:sz w:val="28"/>
          <w:szCs w:val="28"/>
          <w:lang w:val="vi-VN"/>
        </w:rPr>
      </w:pPr>
    </w:p>
    <w:p w:rsidR="00825B1A" w:rsidRPr="008354C2" w:rsidRDefault="00825B1A" w:rsidP="00DE3B2F">
      <w:pPr>
        <w:spacing w:after="60" w:line="360" w:lineRule="exact"/>
        <w:jc w:val="both"/>
        <w:rPr>
          <w:rFonts w:ascii="Times New Roman" w:eastAsia="Arial" w:hAnsi="Times New Roman" w:cs="Times New Roman"/>
          <w:sz w:val="28"/>
          <w:szCs w:val="28"/>
          <w:lang w:val="vi-VN"/>
        </w:rPr>
      </w:pPr>
    </w:p>
    <w:p w:rsidR="00825B1A" w:rsidRPr="008354C2" w:rsidRDefault="00F95ABB" w:rsidP="00825B1A">
      <w:pPr>
        <w:spacing w:after="0"/>
        <w:jc w:val="center"/>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V. </w:t>
      </w:r>
      <w:r w:rsidR="00825B1A" w:rsidRPr="008354C2">
        <w:rPr>
          <w:rFonts w:ascii="Times New Roman" w:eastAsia="Arial" w:hAnsi="Times New Roman" w:cs="Times New Roman"/>
          <w:b/>
          <w:sz w:val="28"/>
          <w:szCs w:val="28"/>
          <w:lang w:val="vi-VN"/>
        </w:rPr>
        <w:t xml:space="preserve">CHÍNH SÁCH 5: BỔ SUNG, HOÀN THIỆN CÁC QUY ĐỊNH VỀ </w:t>
      </w:r>
    </w:p>
    <w:p w:rsidR="00825B1A" w:rsidRPr="008354C2" w:rsidRDefault="00825B1A" w:rsidP="00825B1A">
      <w:pPr>
        <w:spacing w:after="0"/>
        <w:jc w:val="center"/>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PHÁT TRIỂN VÀ NÂNG CAO CHẤT LƯỢNG NGUỒN NHÂN LỰC </w:t>
      </w:r>
    </w:p>
    <w:p w:rsidR="00825B1A" w:rsidRPr="008354C2" w:rsidRDefault="00825B1A" w:rsidP="00825B1A">
      <w:pPr>
        <w:spacing w:after="0"/>
        <w:jc w:val="center"/>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TRONG LĨNH VỰC KINH DOANH BẢO HIỂM</w:t>
      </w:r>
    </w:p>
    <w:p w:rsidR="00A835DD" w:rsidRPr="008354C2" w:rsidRDefault="001B168B" w:rsidP="00A835DD">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1. </w:t>
      </w:r>
      <w:r w:rsidR="00614B8B" w:rsidRPr="008354C2">
        <w:rPr>
          <w:rFonts w:ascii="Times New Roman" w:eastAsia="Arial" w:hAnsi="Times New Roman" w:cs="Times New Roman"/>
          <w:b/>
          <w:sz w:val="28"/>
          <w:szCs w:val="28"/>
          <w:lang w:val="vi-VN"/>
        </w:rPr>
        <w:t>Quy định về</w:t>
      </w:r>
      <w:r w:rsidRPr="008354C2">
        <w:rPr>
          <w:rFonts w:ascii="Times New Roman" w:eastAsia="Arial" w:hAnsi="Times New Roman" w:cs="Times New Roman"/>
          <w:b/>
          <w:sz w:val="28"/>
          <w:szCs w:val="28"/>
          <w:lang w:val="vi-VN"/>
        </w:rPr>
        <w:t xml:space="preserve"> phát triển nguồn nhân lực</w:t>
      </w:r>
    </w:p>
    <w:p w:rsidR="00A835DD" w:rsidRPr="008354C2" w:rsidRDefault="00A835DD" w:rsidP="00A835D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sz w:val="28"/>
          <w:szCs w:val="28"/>
          <w:lang w:val="pt-BR"/>
        </w:rPr>
        <w:t>Các quốc gia đều có chính sách nâng cao chất lượng nguồn nhân lực của thị trường bảo hiểm thông qua nghiên cứu và hướng tới việc áp dụng khung tiêu chuẩn năng lực phù hợp với thực tiễn và sự phát triển của thị trường.</w:t>
      </w:r>
      <w:r w:rsidRPr="008354C2">
        <w:rPr>
          <w:rFonts w:ascii="Times New Roman" w:eastAsia="Times New Roman" w:hAnsi="Times New Roman" w:cs="Times New Roman"/>
          <w:i/>
          <w:sz w:val="28"/>
          <w:szCs w:val="28"/>
          <w:lang w:val="pt-BR"/>
        </w:rPr>
        <w:t xml:space="preserve"> </w:t>
      </w:r>
      <w:r w:rsidRPr="008354C2">
        <w:rPr>
          <w:rFonts w:ascii="Times New Roman" w:eastAsia="Times New Roman" w:hAnsi="Times New Roman" w:cs="Times New Roman"/>
          <w:sz w:val="28"/>
          <w:szCs w:val="28"/>
          <w:lang w:val="pt-BR"/>
        </w:rPr>
        <w:t>Chính sách nâng cao chất lượng nguồn nhân lực của thị trường bảo hiểm trước hết được luật hóa tại các văn bản pháp luật quy định các tiêu chuẩn về năng lực chuyên môn quy định đối với một số vị trí, chức danh trọng  yếu trong hoạt động kinh doanh bảo hiểm.</w:t>
      </w:r>
      <w:r w:rsidRPr="008354C2">
        <w:rPr>
          <w:rFonts w:ascii="Times New Roman" w:eastAsia="Times New Roman" w:hAnsi="Times New Roman" w:cs="Times New Roman"/>
          <w:i/>
          <w:sz w:val="28"/>
          <w:szCs w:val="28"/>
          <w:lang w:val="pt-BR"/>
        </w:rPr>
        <w:t xml:space="preserve"> </w:t>
      </w:r>
      <w:r w:rsidRPr="008354C2">
        <w:rPr>
          <w:rFonts w:ascii="Times New Roman" w:eastAsia="Times New Roman" w:hAnsi="Times New Roman" w:cs="Times New Roman"/>
          <w:sz w:val="28"/>
          <w:szCs w:val="28"/>
          <w:lang w:val="pt-BR"/>
        </w:rPr>
        <w:t>Tiêu chuẩn năng lực của người quản trị điều hành và các chức vụ quản lý cao cấp trong các tổ chức hoạt động về bảo hiểm được cụ thể hóa tại các văn bản luật của hầu như tất cả các quốc gia. Đối với các quốc gia có thị trường bảo hiểm phát triển, tiêu chuẩn năng lực của hầu như tất cả các chức danh, họ nghề thuộc ngành bảo hiểm được quy định đồng bộ cho từng họ nghề chính thể hiện bằng các tiêu chuẩn về kỹ năng và năng lực, tiêu chuẩn  về bằng cấp, chứng chỉ tối thiểu được đồng bộ hóa, hệ thống hóa tại Khung tiêu chuẩn năng lực chuyên môn về bảo hiểm. Khung tiêu chuẩn năng lực đồng bộ, toàn diện cho tất cả các họ nghề bảo hiểm thường do hiệp hội ngành nghề xây dựng và được thống nhất thực hiện tại các doanh nghiệp bảo hiểm trên thị trường. Khung tiêu chuẩn năng lực đối với một số họ nghề trực tiếp tác động tới bên tham gia bảo hiểm thường được cơ quan quản lý bảo hiểm hoặc cơ quan quản lý chất lượng giao dục quy định.</w:t>
      </w:r>
    </w:p>
    <w:p w:rsidR="00A835DD" w:rsidRPr="008354C2" w:rsidRDefault="00A835DD" w:rsidP="00A835DD">
      <w:pPr>
        <w:spacing w:before="120" w:after="120"/>
        <w:jc w:val="both"/>
        <w:rPr>
          <w:rFonts w:ascii="Times New Roman" w:eastAsia="Times New Roman" w:hAnsi="Times New Roman" w:cs="Times New Roman"/>
          <w:b/>
          <w:sz w:val="28"/>
          <w:szCs w:val="28"/>
          <w:lang w:val="pt-BR"/>
        </w:rPr>
      </w:pPr>
      <w:r w:rsidRPr="008354C2">
        <w:rPr>
          <w:rFonts w:ascii="Times New Roman" w:eastAsia="Times New Roman" w:hAnsi="Times New Roman" w:cs="Times New Roman"/>
          <w:b/>
          <w:sz w:val="28"/>
          <w:szCs w:val="28"/>
          <w:lang w:val="pt-BR"/>
        </w:rPr>
        <w:t xml:space="preserve">1.1. Quy định </w:t>
      </w:r>
      <w:r w:rsidR="0030415D" w:rsidRPr="008354C2">
        <w:rPr>
          <w:rFonts w:ascii="Times New Roman" w:eastAsia="Times New Roman" w:hAnsi="Times New Roman" w:cs="Times New Roman"/>
          <w:b/>
          <w:sz w:val="28"/>
          <w:szCs w:val="28"/>
          <w:lang w:val="pt-BR"/>
        </w:rPr>
        <w:t xml:space="preserve">về tiêu chuẩn năng lực </w:t>
      </w:r>
    </w:p>
    <w:p w:rsidR="00A835DD" w:rsidRPr="008354C2" w:rsidRDefault="00A835DD" w:rsidP="00A835D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sz w:val="28"/>
          <w:szCs w:val="28"/>
          <w:lang w:val="pt-BR"/>
        </w:rPr>
        <w:t>Quy định tại cấp độ Luật về bảo hiểm của các nước thường giới hạn ở quy định về tiêu chuẩn năng lực bắt buộc thường áp dụng đối với người quản trị điều hành và nhóm nghề trung gian bảo hiểm như đại lý, môi giới bảo hiểm. Cụ thể như sau:</w:t>
      </w:r>
    </w:p>
    <w:p w:rsidR="0030415D" w:rsidRPr="008354C2" w:rsidRDefault="0030415D" w:rsidP="0030415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b/>
          <w:sz w:val="28"/>
          <w:szCs w:val="28"/>
          <w:lang w:val="pt-BR"/>
        </w:rPr>
        <w:t>1.1.1. Nguyên tắc ICP 6 của IAIS</w:t>
      </w:r>
      <w:r w:rsidRPr="008354C2">
        <w:rPr>
          <w:rFonts w:ascii="Times New Roman" w:eastAsia="Times New Roman" w:hAnsi="Times New Roman" w:cs="Times New Roman"/>
          <w:sz w:val="28"/>
          <w:szCs w:val="28"/>
          <w:lang w:val="pt-BR"/>
        </w:rPr>
        <w:t xml:space="preserve"> </w:t>
      </w:r>
    </w:p>
    <w:p w:rsidR="0030415D" w:rsidRPr="008354C2" w:rsidRDefault="0030415D" w:rsidP="0030415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sz w:val="28"/>
          <w:szCs w:val="28"/>
          <w:lang w:val="pt-BR"/>
        </w:rPr>
        <w:t xml:space="preserve">Hiệp hội các nhà quản lý bảo hiểm quốc tế ban hành Bộ nguyên tắc cơ bản về bảo hiểm (ICP) trong đó ICP 6 - Nguyên tắc 6 về Nguyên tắc cấp phép có quy định yêu cầu cấp phép kinh doanh bảo hiểm phải trên cơ sở thận trọng và bảo vệ chủ hợp đồng bảo hiểm. Theo đó, các nguyên lý chung về Cấp phép đưa ra các điều kiện cấp phép bao gồm các điều kiện, tiêu chuẩn người quản trị điều hành tổ chức hoạt động KDBH và một số nhân sự chủ chốt quan trọng như chuyên gia tính toán bảo hiểm và kiểm toán. Lý do đưa ra các tiêu chuẩn này trong ICP được lý giải bởi các công ty bảo hiểm phá sản thường nguyên nhân là do quản trị yếu kém từ các nhà quả trị và nhà điều hành. Vì vậy cần phải xem xét kỹ năng lực và kinh nghiệm của người quản trị điều hành, cũng như đối với các chức vụ quản lý cao cấp. </w:t>
      </w:r>
    </w:p>
    <w:p w:rsidR="006D3392" w:rsidRPr="008354C2" w:rsidRDefault="006D3392" w:rsidP="0030415D">
      <w:pPr>
        <w:spacing w:before="120" w:after="120"/>
        <w:jc w:val="both"/>
        <w:rPr>
          <w:rFonts w:ascii="Times New Roman" w:eastAsia="Times New Roman" w:hAnsi="Times New Roman" w:cs="Times New Roman"/>
          <w:b/>
          <w:sz w:val="28"/>
          <w:szCs w:val="28"/>
          <w:lang w:val="pt-BR"/>
        </w:rPr>
      </w:pPr>
      <w:r w:rsidRPr="008354C2">
        <w:rPr>
          <w:rFonts w:ascii="Times New Roman" w:eastAsia="Times New Roman" w:hAnsi="Times New Roman" w:cs="Times New Roman"/>
          <w:b/>
          <w:sz w:val="28"/>
          <w:szCs w:val="28"/>
          <w:lang w:val="pt-BR"/>
        </w:rPr>
        <w:t>1.1.2. Đài Loan</w:t>
      </w:r>
    </w:p>
    <w:p w:rsidR="0030415D" w:rsidRPr="008354C2" w:rsidRDefault="0030415D" w:rsidP="0030415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sz w:val="28"/>
          <w:szCs w:val="28"/>
          <w:lang w:val="pt-BR"/>
        </w:rPr>
        <w:t xml:space="preserve">Luật Bảo hiểm Đài Loan quy định việc thành lập, đầu tư vào DNBH, tổ chức đại lý, tổ chức môi giới bảo hiểm phải được cơ quan quản lý bảo hiểm chấp thuận trước (Điều 145). Đại lý bảo hiểm, môi giới bảo hiểm phải đăng ký hoạt động với cơ quan quản lý bảo hiểm (phải có được giấy phép hành nghề trước khi bắt đầu hoạt động kinh doanh hoặc hành nghề), đặt cọc tiền theo quy định và mua bảo hiểm trách nhiệm trước khi chính thức hoạt động  (Điều 163, 164 và 165). Đại lý bảo hiểm, môi giới hoặc giám định viên đã được phép của cơ quan có thẩm quyền và các quy định chi phối các vấn đề liên quan đến đại lý bảo hiểm, môi giới và giám định/điều tra. Các quy định liên quan này bao gồm các yêu cầu, điều kiện, yêu cầu trình  độ cho giám đốc, giám sát và cán bộ quản lý , công tác giáo dục và đào tạo, thu hồi giấy phép (Điều 163). </w:t>
      </w:r>
    </w:p>
    <w:p w:rsidR="006D3392" w:rsidRPr="008354C2" w:rsidRDefault="006D3392" w:rsidP="0030415D">
      <w:pPr>
        <w:spacing w:before="120" w:after="120"/>
        <w:jc w:val="both"/>
        <w:rPr>
          <w:rFonts w:ascii="Times New Roman" w:eastAsia="Times New Roman" w:hAnsi="Times New Roman" w:cs="Times New Roman"/>
          <w:b/>
          <w:sz w:val="28"/>
          <w:szCs w:val="28"/>
          <w:lang w:val="pt-BR"/>
        </w:rPr>
      </w:pPr>
      <w:r w:rsidRPr="008354C2">
        <w:rPr>
          <w:rFonts w:ascii="Times New Roman" w:eastAsia="Times New Roman" w:hAnsi="Times New Roman" w:cs="Times New Roman"/>
          <w:b/>
          <w:sz w:val="28"/>
          <w:szCs w:val="28"/>
          <w:lang w:val="pt-BR"/>
        </w:rPr>
        <w:t>1.1.3. Anh</w:t>
      </w:r>
    </w:p>
    <w:p w:rsidR="0030415D" w:rsidRPr="008354C2" w:rsidRDefault="0030415D" w:rsidP="0030415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sz w:val="28"/>
          <w:szCs w:val="28"/>
          <w:lang w:val="pt-BR"/>
        </w:rPr>
        <w:t>Luật Bảo hiểm Anh Quốc 2015 quy định về hiểu biết của công ty bảo hiểm, theo đó, kiến thức bắt buộc đối với người làm trong công ty bảo hiểm phải có hiểu biết là những kiến thức phổ biến và các thông tin liên quan đến loại hình bảo hiểm mà công ty bảo hiểm cung cấp cho người được bảo hiểm.</w:t>
      </w:r>
    </w:p>
    <w:p w:rsidR="006D3392" w:rsidRPr="008354C2" w:rsidRDefault="006D3392" w:rsidP="0030415D">
      <w:pPr>
        <w:spacing w:before="120" w:after="120"/>
        <w:jc w:val="both"/>
        <w:rPr>
          <w:rFonts w:ascii="Times New Roman" w:eastAsia="Times New Roman" w:hAnsi="Times New Roman" w:cs="Times New Roman"/>
          <w:b/>
          <w:sz w:val="28"/>
          <w:szCs w:val="28"/>
          <w:lang w:val="pt-BR"/>
        </w:rPr>
      </w:pPr>
      <w:r w:rsidRPr="008354C2">
        <w:rPr>
          <w:rFonts w:ascii="Times New Roman" w:eastAsia="Times New Roman" w:hAnsi="Times New Roman" w:cs="Times New Roman"/>
          <w:b/>
          <w:sz w:val="28"/>
          <w:szCs w:val="28"/>
          <w:lang w:val="pt-BR"/>
        </w:rPr>
        <w:t>1.1.4. Malaysia</w:t>
      </w:r>
    </w:p>
    <w:p w:rsidR="0030415D" w:rsidRPr="008354C2" w:rsidRDefault="00512A52" w:rsidP="0030415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sz w:val="28"/>
          <w:szCs w:val="28"/>
          <w:lang w:val="pt-BR"/>
        </w:rPr>
        <w:t xml:space="preserve">Điều 55 </w:t>
      </w:r>
      <w:r w:rsidR="0030415D" w:rsidRPr="008354C2">
        <w:rPr>
          <w:rFonts w:ascii="Times New Roman" w:eastAsia="Times New Roman" w:hAnsi="Times New Roman" w:cs="Times New Roman"/>
          <w:sz w:val="28"/>
          <w:szCs w:val="28"/>
          <w:lang w:val="pt-BR"/>
        </w:rPr>
        <w:t>Luật Bảo hiểm của Malaysia về yêu cầu đối với việc bổ nhiệm các vị trí trọng yếu quy định người làm các vị trí chủ tịch, giám đốc, giám đốc điều hành, hoặc cán bộ cấp cao của công ty bảo hiểm phải đủ tiêu chuẩn, năng lực theo luật định. Điều 60 của Luật quy định năng lực, khả năng của các chức danh lãnh đạo, điều hành, cán bộ cấp ca</w:t>
      </w:r>
      <w:r w:rsidRPr="008354C2">
        <w:rPr>
          <w:rFonts w:ascii="Times New Roman" w:eastAsia="Times New Roman" w:hAnsi="Times New Roman" w:cs="Times New Roman"/>
          <w:sz w:val="28"/>
          <w:szCs w:val="28"/>
          <w:lang w:val="pt-BR"/>
        </w:rPr>
        <w:t>o</w:t>
      </w:r>
      <w:r w:rsidR="0030415D" w:rsidRPr="008354C2">
        <w:rPr>
          <w:rFonts w:ascii="Times New Roman" w:eastAsia="Times New Roman" w:hAnsi="Times New Roman" w:cs="Times New Roman"/>
          <w:sz w:val="28"/>
          <w:szCs w:val="28"/>
          <w:lang w:val="pt-BR"/>
        </w:rPr>
        <w:t xml:space="preserve"> hoặc đại diện của chuyên gia tư vấn tài chính phải đảm bảo yêu cầu về tính hợp lý và phù hợp. Ngân hàng nhà nước là cơ quan xem xét cẩn trọng khi cần xem xét về tính hợp lý và phù hợp của người làm các chức danh này.</w:t>
      </w:r>
    </w:p>
    <w:p w:rsidR="00512A52" w:rsidRPr="008354C2" w:rsidRDefault="00512A52" w:rsidP="0030415D">
      <w:pPr>
        <w:spacing w:before="120" w:after="120"/>
        <w:jc w:val="both"/>
        <w:rPr>
          <w:rFonts w:ascii="Times New Roman" w:eastAsia="Times New Roman" w:hAnsi="Times New Roman" w:cs="Times New Roman"/>
          <w:b/>
          <w:sz w:val="28"/>
          <w:szCs w:val="28"/>
          <w:lang w:val="pt-BR"/>
        </w:rPr>
      </w:pPr>
      <w:r w:rsidRPr="008354C2">
        <w:rPr>
          <w:rFonts w:ascii="Times New Roman" w:eastAsia="Times New Roman" w:hAnsi="Times New Roman" w:cs="Times New Roman"/>
          <w:b/>
          <w:sz w:val="28"/>
          <w:szCs w:val="28"/>
          <w:lang w:val="pt-BR"/>
        </w:rPr>
        <w:t>1.1.5. Hàn Quốc</w:t>
      </w:r>
    </w:p>
    <w:p w:rsidR="0030415D" w:rsidRPr="008354C2" w:rsidRDefault="0030415D" w:rsidP="0030415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sz w:val="28"/>
          <w:szCs w:val="28"/>
          <w:lang w:val="pt-BR"/>
        </w:rPr>
        <w:t>Điều 15 của Pháp lệnh về các quy tắc thi hành Luật KDBH của Hàn Quốc do Bộ Tài chính ban hành quy định đơn vị đào tạo về bảo hiểm phải là một đơn vị được ủy quyền bởi Chủ tịch Ủy ban Giám sát Tài chính thông qua sự chấp thuận của Ủy ban Dịch vụ Tài chính và hoạt động theo Sắc lệnh của Thủ tướng để đảm bảo chất lượng nguồn nhân lực được đào tạo. Uỷ Ban giám sát tài chính là cơ quan cấp phép và rút giấy phép hoạt động đại lý trong trường hợp đại lý vi phạm pháp luật hoặc không đáp ứng điều kiện hoạt động đại lý (Điều 34).</w:t>
      </w:r>
    </w:p>
    <w:p w:rsidR="00512A52" w:rsidRPr="008354C2" w:rsidRDefault="00512A52" w:rsidP="0030415D">
      <w:pPr>
        <w:spacing w:before="120" w:after="120"/>
        <w:jc w:val="both"/>
        <w:rPr>
          <w:rFonts w:ascii="Times New Roman" w:eastAsia="Times New Roman" w:hAnsi="Times New Roman" w:cs="Times New Roman"/>
          <w:b/>
          <w:sz w:val="28"/>
          <w:szCs w:val="28"/>
          <w:lang w:val="pt-BR"/>
        </w:rPr>
      </w:pPr>
      <w:r w:rsidRPr="008354C2">
        <w:rPr>
          <w:rFonts w:ascii="Times New Roman" w:eastAsia="Times New Roman" w:hAnsi="Times New Roman" w:cs="Times New Roman"/>
          <w:b/>
          <w:sz w:val="28"/>
          <w:szCs w:val="28"/>
          <w:lang w:val="pt-BR"/>
        </w:rPr>
        <w:t>1.1.6. Trung Quốc</w:t>
      </w:r>
    </w:p>
    <w:p w:rsidR="0030415D" w:rsidRPr="008354C2" w:rsidRDefault="0030415D" w:rsidP="0030415D">
      <w:pPr>
        <w:spacing w:before="120" w:after="120"/>
        <w:jc w:val="both"/>
        <w:rPr>
          <w:rFonts w:ascii="Times New Roman" w:eastAsia="Times New Roman" w:hAnsi="Times New Roman" w:cs="Times New Roman"/>
          <w:sz w:val="28"/>
          <w:szCs w:val="28"/>
          <w:lang w:val="pt-BR"/>
        </w:rPr>
      </w:pPr>
      <w:r w:rsidRPr="008354C2">
        <w:rPr>
          <w:rFonts w:ascii="Times New Roman" w:eastAsia="Times New Roman" w:hAnsi="Times New Roman" w:cs="Times New Roman"/>
          <w:sz w:val="28"/>
          <w:szCs w:val="28"/>
          <w:lang w:val="pt-BR"/>
        </w:rPr>
        <w:t>Luật KDBH Trung Hoa quy định nhân viên bán hàng của công ty bảo hiểm phải có hành vi đạo đức tốt và có năng lực chuyên môn cần thiết trong việc bán bảo hiểm. Các quy tắc và quy định được áp dụng đối với nhân viên bán bảo hiểm sẽ do cơ quan quản lý bảo hiểm thuộc Chính phủ xây dựng (Điều 111). Các công ty bảo hiểm sẽ thiết lập hệ thống đăng ký làm đại lý bảo hiểm và tăng cường đào tạo và quản lý c</w:t>
      </w:r>
      <w:r w:rsidR="00512A52" w:rsidRPr="008354C2">
        <w:rPr>
          <w:rFonts w:ascii="Times New Roman" w:eastAsia="Times New Roman" w:hAnsi="Times New Roman" w:cs="Times New Roman"/>
          <w:sz w:val="28"/>
          <w:szCs w:val="28"/>
          <w:lang w:val="pt-BR"/>
        </w:rPr>
        <w:t xml:space="preserve">ác đại lý bảo hiểm (Điều 112). </w:t>
      </w:r>
      <w:r w:rsidRPr="008354C2">
        <w:rPr>
          <w:rFonts w:ascii="Times New Roman" w:eastAsia="Times New Roman" w:hAnsi="Times New Roman" w:cs="Times New Roman"/>
          <w:sz w:val="28"/>
          <w:szCs w:val="28"/>
          <w:lang w:val="pt-BR"/>
        </w:rPr>
        <w:t xml:space="preserve">Đại lý bảo hiểm cá nhân, người hành nghề của công ty bảo hiểm và người hành nghề môi giới bảo hiểm phải có hành vi đạo đức tốt và có năng lực chuyên môn cần thiết để thực hiện hoạt động kinh doanh đại lý hoặc môi giới bảo hiểm (Điều 122).  </w:t>
      </w:r>
    </w:p>
    <w:p w:rsidR="00512A52" w:rsidRPr="008354C2" w:rsidRDefault="00512A52" w:rsidP="0030415D">
      <w:pPr>
        <w:spacing w:before="120" w:after="120"/>
        <w:jc w:val="both"/>
        <w:rPr>
          <w:rFonts w:ascii="Times New Roman" w:eastAsia="Times New Roman" w:hAnsi="Times New Roman" w:cs="Times New Roman"/>
          <w:b/>
          <w:sz w:val="28"/>
          <w:szCs w:val="28"/>
          <w:lang w:val="pt-BR"/>
        </w:rPr>
      </w:pPr>
      <w:r w:rsidRPr="008354C2">
        <w:rPr>
          <w:rFonts w:ascii="Times New Roman" w:eastAsia="Times New Roman" w:hAnsi="Times New Roman" w:cs="Times New Roman"/>
          <w:b/>
          <w:sz w:val="28"/>
          <w:szCs w:val="28"/>
          <w:lang w:val="pt-BR"/>
        </w:rPr>
        <w:t>1.1.7. Cộng hòa Mauritus</w:t>
      </w:r>
    </w:p>
    <w:p w:rsidR="0030415D" w:rsidRPr="008354C2" w:rsidRDefault="0030415D" w:rsidP="0030415D">
      <w:pPr>
        <w:spacing w:before="120" w:after="120"/>
        <w:jc w:val="both"/>
        <w:rPr>
          <w:rFonts w:ascii="Times New Roman" w:eastAsia="Arial" w:hAnsi="Times New Roman" w:cs="Times New Roman"/>
          <w:sz w:val="28"/>
          <w:szCs w:val="28"/>
          <w:lang w:val="pt-BR"/>
        </w:rPr>
      </w:pPr>
      <w:r w:rsidRPr="008354C2">
        <w:rPr>
          <w:rFonts w:ascii="Times New Roman" w:eastAsia="Times New Roman" w:hAnsi="Times New Roman" w:cs="Times New Roman"/>
          <w:sz w:val="28"/>
          <w:szCs w:val="28"/>
          <w:lang w:val="pt-BR"/>
        </w:rPr>
        <w:t xml:space="preserve">Luật Dịch vụ Tài chính 2007 của Cộng hòa Mauritus (mục 20) quy định người được cấp phép kinh doanh bảo hiểm (người tư vấn/ đưa ra lời khuyên, trung gian bảo hiểm (môi giới bảo hiểm, môi giới tái bảo hiểm, đại lý bảo hiểm), các chức danh quản lý, kiểm soát phải đủ tiêu chuẩn năng lực chuyên môn bảo hiểm. </w:t>
      </w:r>
    </w:p>
    <w:p w:rsidR="00825B1A" w:rsidRPr="008354C2" w:rsidRDefault="00B62594" w:rsidP="00A835DD">
      <w:pPr>
        <w:spacing w:after="60"/>
        <w:jc w:val="both"/>
        <w:rPr>
          <w:rFonts w:ascii="Times New Roman" w:eastAsia="Arial" w:hAnsi="Times New Roman" w:cs="Times New Roman"/>
          <w:b/>
          <w:sz w:val="28"/>
          <w:szCs w:val="28"/>
          <w:lang w:val="pt-BR"/>
        </w:rPr>
      </w:pPr>
      <w:r w:rsidRPr="008354C2">
        <w:rPr>
          <w:rFonts w:ascii="Times New Roman" w:eastAsia="Arial" w:hAnsi="Times New Roman" w:cs="Times New Roman"/>
          <w:b/>
          <w:sz w:val="28"/>
          <w:szCs w:val="28"/>
          <w:lang w:val="pt-BR"/>
        </w:rPr>
        <w:t>1.2. Quy định về khung tiêu chuẩn năng lực, khung chứng chỉ đối với ngành bảo hiểm</w:t>
      </w:r>
    </w:p>
    <w:p w:rsidR="00B62594" w:rsidRPr="008354C2" w:rsidRDefault="00B62594" w:rsidP="00B62594">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Tại nhiều thị trường bảo hiểm, để chuẩn hóa chất lượng nguồn nhân lực bảo hiểm, khung tiêu chuẩn năng lực và một số quy định về tiêu chuẩn năng lực yêu cầu đối với một số chức danh nghề bảo hiểm dduowwcj ban hành. Theo đó, các tổ chức về đào tạo nghề bảo hiểm cũng xây dựng và thực hiện hệ thống chứng chỉ chuyên môn phù hợp với khung tiêu chuẩn năng lực</w:t>
      </w:r>
    </w:p>
    <w:p w:rsidR="00B62594" w:rsidRPr="008354C2" w:rsidRDefault="00B62594" w:rsidP="00B62594">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Tại các quốc gia có thị trường bảo hiểm chưa phát triển hoặc quy mô nhỏ, cơ quan quản lý sẽ ban hành khung tiêu chuẩn năng lực chuyên môn ngành bảo hiểm. Khung tiêu chuẩn năng lực chuyên môn trong trường hợp này thường tập trung vào một số nhóm nghề tiếp cận trực tiếp tới khách hàng như đại lý bảo hiểm, môi giới bảo hiểm, môi giới tái bảo hiểm, nhân viên trực tiếp bán bảo hiểm của công ty bảo hiểm, nhân viên trực tiếp môi giới của công ty môi giới bảo hiểm, môi giới tái bảo hiểm. Theo hướng này, việc tuân thủ khung tiêu chuẩn năng lực là bắt buộc. Nếu không tuân thủ thì người đại lý BH, MGBH, DNBH sẽ bị phạt theo Luật định. Điển hình của trường hợp này là Cộng hòa Mô rít tan ni (Mauritaus Republic). </w:t>
      </w:r>
    </w:p>
    <w:p w:rsidR="00B62594" w:rsidRPr="008354C2" w:rsidRDefault="00B62594" w:rsidP="00B62594">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Tại những thị trường bảo hiểm mới phát triển (Malaysia, Singapore), hoặc tại các thị trường bảo hiểm chưa phát triển, tinh thần tự giác tuân thủ tiêu chuẩn năng lực nguồn nhân lực của các DNBH chưa cao (Indonesia), cơ quan quản lý bắt buộc năng lực tối thiểu đối với các trung gian bảo hiểm, năng lực chuyên môn tối thiểu chứng minh bằng chứng chỉ hành nghề. Cơ quan quản lý chỉ ủy quyền cho 1 cơ sở đào tạo duy nhất tổ chức thi các chứng chỉ hành nghề bảo hiểm (chứng chỉ đại lý bảo hiểm, chứng chỉ môi giới bảo hiểm, chứng chỉ đánh giá tổn thất) đó cũng là cơ sở đào tạo có uy tín và độc lập với DNBH để đảm bảo hiệu quả, chất lượng nguồn nhân lực hành nghề bảo hiểm. Chương trình đào tạo (nội dung, thời lượng đào tạo), địa điểm thi, kết cấu đề thi, tài liệu ôn tập đều được cơ sở đào tạo công bố rõ ràng, tuân thủ quy định của pháp luật. </w:t>
      </w:r>
    </w:p>
    <w:p w:rsidR="00B62594" w:rsidRPr="008354C2" w:rsidRDefault="00B62594" w:rsidP="00B62594">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Tại các thị trường bảo hiểm phát triển, tổ chức đào tạo có uy tín hoặc các hiệp hội ngành nghề bảo hiểm (hiệp hội bảo hiểm nhân thọ, hiệp hội bảo hiểm nhân thọ…) là tổ chức ban hành khung tiêu chuẩn năng lực chuyên môn cho ngành nghề mình. Khung tiêu chuẩn năng lực chuyên môn tại các thị trường bảo hiểm phát triển này thường bao quát cho mọi nhóm nghề bảo hiểm chính và khá chi tiết cho các cấp độ chuyên môn của mỗi nhóm nghề. Các cơ quan quản lý chỉ quy định tiêu chuẩn năng lực, chứng chỉ đối với nguồn nhân lực tiếp xúc với khách hàng, để bảo vệ người sử dụng dịch vụ bảo hiểm (người tư vấn bảo hiểm, người cung cấp dịch vụ xử lý bồi thường). Theo đó, nhà nước không có quy định đối với toàn bộ khung tiêu chuẩn năng lực cũng như khung chứng chỉ theo khung tiêu chuẩn năng lực mà chỉ ban hành Khung tiêu chuẩn năng lực tối thiểu đối với một số nhóm nghề (như trường hợp Ai Len). Ở Úc còn có quy định thay vì hoàn thành các khóa đào tạo, những tư vấn viên có nhiều năm kinh nghiệm có thể chứng minh năng lực của mình thông qua những đánh giá cá nhân bởi một thẩm định viên được ủy quyền (như ANZIIF). Các vị trí chức danh khác trong DNBH đều được các DNBH tự nguyện thực hiện theo khung tiêu chuẩn năng lực chuyên môn và khung chứng chỉ do các cơ sở đào tạo uy tín quy định. Hệ thống chứng chỉ do các cơ sở đào tạo cấp phù hợp với Khung tiêu chuẩn năng lực. Sự liên kết trong hoạt động đào tạo chuẩn hóa năng lực cán bộ giữa DNBH và các cơ sở đào tạo rất chặt chẽ. Trên thực tế, thường các tổ chức ban hành Khung tiêu chuẩn năng lực chuyên môn bảo hiểm này cũng sẽ ban hành và thực hiện khung chứng chỉ tương ứng. Các tổ chức đào tạo, các hiệp hội ban hành khung tiêu chuẩn năng lực, khung chứng chỉ này sẽ tổ chức đào tạo các chương trình đào tạo được cấp các chứng chỉ đã đề ra tại khung chứng chỉ nghề bảo hiểm. Cơ quan quản lý chất lượng giáo dục và cơ quan quản lý giám sát bảo hiểm là cơ quan chủ quản về giáo dục đào tạo và chất lượng dịch vụ bảo hiểm chịu trách nhiệm phê duyệt khung chứng chỉ, chương trình đào tạo, giám sát chất lượng các kỳ thi đối với các chứng chỉ bắt buộc (thường là các chứng chỉ cho nhóm nghề trung gian bảo hiểm). Khung tiêu chuẩn năng lực chuyên môn và khung chứng chỉ theo hướng này vì thế không phải là văn bản pháp quy, không bắt buộc thực hiện, tuy nhiên các tiêu chuẩn, năng lực, chứng chỉ quy định trong khung tiêu chuẩn năng lực được công nhận rộng rãi trong ngành nghề liên quan và hầu như tất cả các DNBH, đại lý BH, môi giới bảo hiểm… trên thị trường đều tuân thủ. Điển hình cho trường hợp này là các thị trường bảo hiểm Anh, Úc, các nước EU…. Tại các thị trường này, hệ thống chứng chỉ, bằng cấp về bảo hiểm thích ứng hoàn toàn (có sự đối chiếu tương thích) với Khung tiêu chuẩn năng lực và được các viện đào tạo xây dựng.</w:t>
      </w:r>
    </w:p>
    <w:p w:rsidR="004774EE" w:rsidRPr="008354C2" w:rsidRDefault="00B62594" w:rsidP="00B62594">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Tại một số thị trường bảo hiểm khác như Singapore, Indonesia, cơ quan quản lý yêu cầu tất cả các cán bộ DNBH đều phải đáp ứng tiêu chuẩn chứng chỉ bảo hiểm cơ bản. </w:t>
      </w:r>
      <w:r w:rsidR="00C00572" w:rsidRPr="008354C2">
        <w:rPr>
          <w:rFonts w:ascii="Times New Roman" w:hAnsi="Times New Roman" w:cs="Times New Roman"/>
          <w:sz w:val="28"/>
          <w:lang w:val="pt-BR"/>
        </w:rPr>
        <w:t>Quy định về khung tiêu chuẩn năng lực, khung chứng chỉ đối với ngành bảo hiểm tại một số quốc gia như sau:</w:t>
      </w:r>
    </w:p>
    <w:p w:rsidR="00B62594" w:rsidRPr="008354C2" w:rsidRDefault="00B62594" w:rsidP="00B62594">
      <w:pPr>
        <w:spacing w:after="120"/>
        <w:jc w:val="both"/>
        <w:rPr>
          <w:rFonts w:ascii="Times New Roman" w:hAnsi="Times New Roman" w:cs="Times New Roman"/>
          <w:b/>
          <w:sz w:val="28"/>
          <w:lang w:val="pt-BR"/>
        </w:rPr>
      </w:pPr>
      <w:r w:rsidRPr="008354C2">
        <w:rPr>
          <w:rFonts w:ascii="Times New Roman" w:hAnsi="Times New Roman" w:cs="Times New Roman"/>
          <w:b/>
          <w:sz w:val="28"/>
          <w:lang w:val="pt-BR"/>
        </w:rPr>
        <w:t>1.2.1. Cộng hòa Mauritaus</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Tại Cộng Hòa Mauritaus, 1 quốc gia nhỏ nằm ở Nam Phi, đã ban hành Khung tiêu chuẩn năng lực chuyên môn lĩnh vực dịch vụ tài chính bao gồm khung tiêu chuẩn năng lực chuyên môn trong lĩnh vực bảo hiểm, chứng khoán, và ngân hàng. Ủy ban dịch vụ tài chính (FSC) ban hành Khung tiêu chuẩn năng lực chuyên môn các lĩnh vực dịch vụ tài chính này theo quy định tại Phần 7(1) (a) của Đạo luật về các dịch vụ tài chính. Khung tiêu chuẩn năng lực chuyên môn là một phần của Chương trình Ứng xử Thị trường Công bằng do FSC thực hiện. Mặc dù quy mô thị trường bảo hiểm nhỏ, Khung Tiêu chuẩn Năng lực điều chỉnh các tiêu chuẩn hành nghề trong lĩnh vực dịch vụ bảo hiểm ở Mauritius được xây dựng với các tiêu chuẩn quốc tế và các thông lệ quốc tế tốt nhất đối với một số nhóm nghề, nên có giá trị tham khảo hữu ích đối với việc xây dựng tiêu chuẩn năng lực chuyên môn các nhóm nghề đó tại Việ</w:t>
      </w:r>
      <w:r w:rsidR="00C00572" w:rsidRPr="008354C2">
        <w:rPr>
          <w:rFonts w:ascii="Times New Roman" w:hAnsi="Times New Roman" w:cs="Times New Roman"/>
          <w:sz w:val="28"/>
          <w:lang w:val="pt-BR"/>
        </w:rPr>
        <w:t>t Nam.</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Khung tiêu chuẩn năng lực chuyên môn về bảo hiểm của Cộng Hòa Mauritaus chia làm 6 nhóm nghề đều thuộc trung gian bảo hiểm, đó là: nhân viên bán bảo hiểm, đại lý bảo hiểm, môi giới bảo hiểm, môi giới tái bảo hiểm, nhân viên môi giới bảo hiểm (của tổ chức MGBH), nhân viên môi giới tái bảo hiểm (của tổ chức môi giới </w:t>
      </w:r>
      <w:r w:rsidR="00C00572" w:rsidRPr="008354C2">
        <w:rPr>
          <w:rFonts w:ascii="Times New Roman" w:hAnsi="Times New Roman" w:cs="Times New Roman"/>
          <w:sz w:val="28"/>
          <w:lang w:val="pt-BR"/>
        </w:rPr>
        <w:t xml:space="preserve">TBH). </w:t>
      </w:r>
    </w:p>
    <w:p w:rsidR="00B62594" w:rsidRPr="008354C2" w:rsidRDefault="00B62594" w:rsidP="00B62594">
      <w:pPr>
        <w:jc w:val="both"/>
        <w:rPr>
          <w:rFonts w:ascii="Times New Roman" w:hAnsi="Times New Roman" w:cs="Times New Roman"/>
          <w:sz w:val="28"/>
          <w:lang w:val="pt-BR"/>
        </w:rPr>
      </w:pPr>
      <w:r w:rsidRPr="008354C2">
        <w:rPr>
          <w:rFonts w:ascii="Times New Roman" w:hAnsi="Times New Roman" w:cs="Times New Roman"/>
          <w:sz w:val="28"/>
          <w:lang w:val="pt-BR"/>
        </w:rPr>
        <w:t>Các Tiêu chuẩn Năng lực chính thức hóa các năng lực kỹ thuật tối thiểu về kiến thức và kỹ năng mà những người thực hiện nghề cần được cấp phép cần phải có để đượ</w:t>
      </w:r>
      <w:r w:rsidR="00C00572" w:rsidRPr="008354C2">
        <w:rPr>
          <w:rFonts w:ascii="Times New Roman" w:hAnsi="Times New Roman" w:cs="Times New Roman"/>
          <w:sz w:val="28"/>
          <w:lang w:val="pt-BR"/>
        </w:rPr>
        <w:t xml:space="preserve">c FSC </w:t>
      </w:r>
      <w:r w:rsidRPr="008354C2">
        <w:rPr>
          <w:rFonts w:ascii="Times New Roman" w:hAnsi="Times New Roman" w:cs="Times New Roman"/>
          <w:sz w:val="28"/>
          <w:lang w:val="pt-BR"/>
        </w:rPr>
        <w:t xml:space="preserve">cấp phép. Các Tiêu chuẩn Năng lực cung cấp một chỉ dẫn cho những người được cấp phép về cách chứng minh và duy trì các năng lực kỹ thuật tối thiểu về nghề bảo hiểm.  Khung TCNLCM ngành bảo hiểm chia ra theo từng giai đoạn phát triển nghề nghiệp (các cấp độ nghề) để phát triển các Tiêu chuẩn Năng lực cho các lĩnh vực khác nhau trong ngành. </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Về phạm vi của các tiêu chuẩn năng lực, FSC quy định khi xem xét liệu một người có phù hợp và phù hợp theo mục 20 của Đạo luật Dịch vụ Tài chính 2007 hay không, FSC Mauritius có thể xem xét các tiêu chí về tình hình tài chính; trình độ học vấn, bằng cấp và kinh nghiệm có liên quan; khả năng thực hiện các chức năng liên quan một cách thích hợp, hiệu quả, trung thực và công bằng; và danh tiếng, tính cách, tài chính liêm chính và độ tin cậy. Trong đó, năng lực của người đó là một trong những yếu tố yêu cầu của sự phù hợp và thích hợp, được đánh giá dựa trên trình độ học vấn, trình độ chuyên môn của người đó cùng với kinh nghiệm liên quan. FSCquy định tiêu chuẩn năng lực được định nghĩa theo 3 tiêu thức cần được đảm bảo là:</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Năng lực kỹ thuật tối thiểu để chứng minh năng lực;</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Các yêu cầu về trình độ, đào tạo và kinh nghiệm tối thiểu để chứng minh năng lực;</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Các yêu cầu về Phát triển Chuyên nghiệp Liên tục (“CPD”) tối thiểu để duy trì năng lực.</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Các tiêu chuẩn năng lực áp dụng cho người được cấp phép và bất kỳ cán bộ nào của họ và / hoặc nhân viên của họ liên quan đến các dịch vụ: cung cấp lời khuyên/ tư vấn; cung cấp các dịch vụ trung gian; các chức năng quản lý và kiểm soát. Các Tiêu chuẩn Năng lực sẽ được xem xét liên tục đối với các chức danh được cấp phép.</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Các mục tiêu của Khung Tiêu chuẩn Năng lực được FSC xác định là nhằm:</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Để đảm bảo đối xử công bằng với người tiêu dùng các dịch vụ tài chính;</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Để đảm bảo hoạt động kinh doanh lành mạnh trong lĩnh vực dịch vụ tài chính;</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Tạo niềm tin vào lĩnh vực dịch vụ tài chính và khuyến khích sự tham gia của người tiêu dùng tốt hơn;</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Thiết lập các tiêu chuẩn nhằm duy trì và duy trì danh tiếng tốt của Mauritius như một trung tâm tài chính quốc tế.</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Khung tiêu chuẩn năng lực được mô tả cụ thể tại các phụ lục đối với từng nhóm nghề trung gian bảo hiểm, trong đó đưa ra các năng lực kỹ thuật tối thiểu mà các bên được cấp phép dự kiến cần phải có và cung cấp chỉ dẫn về cách thức chứng minh các năng lực kỹ thuật tối thiểu. Năng lực kỹ thuật đề cập đến kiến thức và kỹ năng kỹ thuật cần thiết để thực hiện một vai trò cụ thể.Năng lực kỹ thuật tối thiểu và trình độ có thể chấp nhận được đã được xác định với sự tham vấn của các bên liên quan. Các năng lực được phân thành 3 cấp độ, đó là Cơ bản, Trung cấp và Nâng cao như được trình bày trong. Ở cấp độ đầu vào nghề nghiệp, một người không có kinh nghiệm hoặc một người có kinh nghiệm trong ngành liên quan tối đa 2 năm phải có kiến thức cơ bản về các khái niệm áp dụng trong nghề. Khi một người tiến triển hơn trong ngành đó, kiến thức về các khái niệm của người đó dự kiến sẽ tăng từ cơ bản đến trung cấp và cuối cùng là nâng cao.</w:t>
      </w:r>
    </w:p>
    <w:p w:rsidR="00B62594" w:rsidRPr="008354C2" w:rsidRDefault="00B62594" w:rsidP="00C00572">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Các cấp độ về năng lực chuyên môn: năng lực cấp độ cơ bản yêu cầu phải quen với các khái niệm cơ bản; năng lực cấp độ trung cấp yêu cầu phải hiểu cặn kẽ các khái niệm cơ bản và việc ứng dụng các khái niệm đó trong lĩnh vực kiến thức; trình độ nâng cao đòi hỏi phải hiểu cặn kẽ các khái niệm nâng cao và ứng dụng của chúng trong lĩnh vực kiến thứ</w:t>
      </w:r>
      <w:r w:rsidR="00C00572" w:rsidRPr="008354C2">
        <w:rPr>
          <w:rFonts w:ascii="Times New Roman" w:hAnsi="Times New Roman" w:cs="Times New Roman"/>
          <w:sz w:val="28"/>
          <w:lang w:val="pt-BR"/>
        </w:rPr>
        <w:t>c.</w:t>
      </w:r>
    </w:p>
    <w:p w:rsidR="00B62594" w:rsidRPr="008354C2" w:rsidRDefault="00B62594"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Khung Năng lực nêu rõ các bằng cấp tối thiểu, nếu có, đáp ứng các năng lực kỹ thuật đã xác định cho người được cấp phép. FSC chỉ cung cấp hướng dẫn về các tiêu chuẩn tối thiểu cần thiết từ người được cấp phép. Điều này không có nghĩa là FSC sẽ thiết kế hoặc kiểm tra khóa học. Danh sách các bằng cấp trong Khung Năng lực không nhằm mục đích đưa ra một danh sách đầy đủ các bằng cấp được chấp nhận. Các bằng cấp có thể so sánh khác không có trong Khung năng lực, có thể được FSC chấp nhận theo từng trường hợp. Trong trường hợp một người không có bằng cấp tối thiểu hoặc bằng cấp khác có thể so sánh, FSC có thể xem xét tùy từng trường hợp, liệu người đó có đủ kinh nghiệm liên quan để chứng minh mức năng lực cần thiết hay không. Khung Năng lực cũng cung cấp kinh nghiệm làm việc liên quan tối thiểu cần thiết cho người được cấp phép, nếu pháp luật có quy định về nội dung này. Khi yêu cầu về năng lực được nêu rõ ràng trong Khung tiêu chuẩn năng lực rằng “đào tạo phù hợp” có thể được sử dụng để chứng minh năng lực, thì đào tạo phải bao gồm các năng lực thích hợp theo yêu cầu để thực hiện vai trò. Người được cấp phép phải thông báo cho FSC về thông tin, như được nêu trong Khung TCNL về khóa đào tạo được đề xuất. Thông tin này phải được cung cấp cho</w:t>
      </w:r>
      <w:r w:rsidR="00C00572" w:rsidRPr="008354C2">
        <w:rPr>
          <w:rFonts w:ascii="Times New Roman" w:hAnsi="Times New Roman" w:cs="Times New Roman"/>
          <w:sz w:val="28"/>
          <w:lang w:val="pt-BR"/>
        </w:rPr>
        <w:t xml:space="preserve"> </w:t>
      </w:r>
      <w:r w:rsidRPr="008354C2">
        <w:rPr>
          <w:rFonts w:ascii="Times New Roman" w:hAnsi="Times New Roman" w:cs="Times New Roman"/>
          <w:sz w:val="28"/>
          <w:lang w:val="pt-BR"/>
        </w:rPr>
        <w:t>FSC ít nhất 5 ngày làm việc trước khi bắt đầu khóa đào tạo. Khóa đào tạo có thể là một khóa học được Cơ quan Quản lý Bằng cấp của Mauritius (“MQA”) phê duyệt hoặc bất kỳ khóa học liên quan nào khác do các giảng viên đủ điều kiện thực hiện. Một huấn luyện viên/ giảng viên đủ điều kiện có thể là một viên chức hoặc nhân viên của người được cấp phép, những người có bằng cấp và kinh nghiệm liên quan để tiến hành đào tạo.</w:t>
      </w:r>
    </w:p>
    <w:p w:rsidR="0053452F" w:rsidRPr="008354C2" w:rsidRDefault="00B62594" w:rsidP="00B62594">
      <w:pPr>
        <w:jc w:val="both"/>
        <w:rPr>
          <w:rFonts w:ascii="Times New Roman" w:hAnsi="Times New Roman" w:cs="Times New Roman"/>
          <w:sz w:val="28"/>
          <w:lang w:val="pt-BR"/>
        </w:rPr>
      </w:pPr>
      <w:r w:rsidRPr="008354C2">
        <w:rPr>
          <w:rFonts w:ascii="Times New Roman" w:hAnsi="Times New Roman" w:cs="Times New Roman"/>
          <w:sz w:val="28"/>
          <w:lang w:val="pt-BR"/>
        </w:rPr>
        <w:t>Trong trường hợp người được xem xét cấp phép hoạt động là Nhân viên bán bảo hiểm và Đại lý bảo hiểm, công ty bảo hiểm sẽ thông báo cho FSC thông tin về khóa đào tạo được đề xuất phù hợp với nội dung liên quan tại Khung TCNLCM. Thông báo sẽ được cung cấp cho FSC ít nhất 5 ngày làm việc trước khi bắt đầu đào tạo. Người được cấp phép và công ty bảo hiểm, trong trường hợp là Nhân viên bán bảo hiểm và Đại lý bảo hiểm, có trách nhiệm cuối cùng là đảm bảo rằng việc đào tạo bao gồm các năng lực phù hợp cần thiết để thực hiện vai trò.</w:t>
      </w:r>
    </w:p>
    <w:p w:rsidR="00B62594" w:rsidRPr="008354C2" w:rsidRDefault="00B62594"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Yêu cầu về “Chứng chỉ Tư cách thành viên (Certificate of Character)”, như được quy định trong Khung Năng lực, sẽ chỉ áp dụng cho công dân của Mauritius và cho người không phải là công dân có giấy phép cư trú hoặc làm việc ở Mauritius.</w:t>
      </w:r>
    </w:p>
    <w:p w:rsidR="00B62594" w:rsidRPr="008354C2" w:rsidRDefault="00B62594"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Các chức danh cần được cấp phép hoạt động cần phải duy trì Năng lực tối thiểu cần thiết theo quy định tại Khung TCNLCM trong suốt quá trình hoạt động. FSC hy vọng những người được cấp phép sẽ duy trì năng lực kỹ thuật tối thiểu của họ sau khi được cấp phép thông qua đào tạo liên tục.Chương trình CPD/ đào tạo liên tục phải phù hợp với vai trò của người được cấp phép và đối với ngành mà người được cấp phép hoạt động. CPD phải tính đến những phát triển mới trong ngành liên quan, chẳng hạn như sản phẩm mới và thay đổi trong các yêu cầu quy định. CPD có thể có cấu trúc hoặc không có cấu trúc. CPD có cấu trúc là một hoạt động được thiết kế để đạt được một kết quả học tập cụ thể và có khả năng được xác minh một cách độc lập. CPD không có cấu trúc là một hoạt động đáp ứng kết quả học tập, nhưng có thể không được thiết kế đặc biệt để đáp ứng nhu cầu phát triển đó. Một ví dụ về CPD không có cấu trúc là yêu cầu đọc một bài báo kỹ thuật trên một ấn phẩm thương mại. Các Tiêu chuẩn Năng lực quy định tại Khung TCNLCM tập trung vào CPD có cấu trúc và số giờ tối thiểu theo quy định của CPD có cấu trúc mỗi năm cho mỗi bên được cấp phép được quy định trong cụ thể tại Khung Tiêu chuẩn Năng lực. Khung TCNLCM có liệt kê các loại CPD có cấu trúc phổ biến. Danh sách này không nhằm mục đích là một danh sách đầy đủ về CPD có cấu trúc được chấp nhận. Bất kỳ hình thức nào khác của hoạt động CPD có cấu trúc chứng minh cách đào tạo liên quan đến vai trò sẽ được xem xét. Việc tham gia vào bất kỳ hoạt động CPD có cấu trúc nào cũng sẽ được hỗ trợ bởi các bằng chứng liên quan. Khi tham gia học đối với các khóa đào tạo đã tham dự để đáp ứng các yêu cầu của CPD, người được cấp phép không cần thông báo cho FSC về khóa đào tạo đó. FSC có thể xem xét hồ sơ CPD trong các chuyến kiểm tra tại chỗ về đáp ứng yêu cầ</w:t>
      </w:r>
      <w:r w:rsidR="0053452F" w:rsidRPr="008354C2">
        <w:rPr>
          <w:rFonts w:ascii="Times New Roman" w:hAnsi="Times New Roman" w:cs="Times New Roman"/>
          <w:sz w:val="28"/>
          <w:lang w:val="pt-BR"/>
        </w:rPr>
        <w:t>u CPD sau này.</w:t>
      </w:r>
    </w:p>
    <w:p w:rsidR="00B62594"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Khung TCNL cũng có </w:t>
      </w:r>
      <w:r w:rsidR="00B62594" w:rsidRPr="008354C2">
        <w:rPr>
          <w:rFonts w:ascii="Times New Roman" w:hAnsi="Times New Roman" w:cs="Times New Roman"/>
          <w:sz w:val="28"/>
          <w:lang w:val="pt-BR"/>
        </w:rPr>
        <w:t>yêu cầu về việc lưu trữ hồ sơ theo đó người được cấp phép phải lưu giữ các hồ sơ thích hợp để chứng minh rằng họ đáp ứng được yêu cầu.</w:t>
      </w:r>
      <w:r w:rsidRPr="008354C2">
        <w:rPr>
          <w:rFonts w:ascii="Times New Roman" w:hAnsi="Times New Roman" w:cs="Times New Roman"/>
          <w:sz w:val="28"/>
          <w:lang w:val="pt-BR"/>
        </w:rPr>
        <w:t xml:space="preserve"> </w:t>
      </w:r>
      <w:r w:rsidR="00B62594" w:rsidRPr="008354C2">
        <w:rPr>
          <w:rFonts w:ascii="Times New Roman" w:hAnsi="Times New Roman" w:cs="Times New Roman"/>
          <w:sz w:val="28"/>
          <w:lang w:val="pt-BR"/>
        </w:rPr>
        <w:t>Người được cấp phép phải lưu giữ các hồ sơ thích hợp để chứng minh rằng họ có duy trì trình độ năng lực tối thiểu trong thời gian ít nhất là 7 năm. Các hồ sơ này phải được cung cấp cho FSC khi có yêu cầu. Hồ sơ phải bao gồm những nộ</w:t>
      </w:r>
      <w:r w:rsidRPr="008354C2">
        <w:rPr>
          <w:rFonts w:ascii="Times New Roman" w:hAnsi="Times New Roman" w:cs="Times New Roman"/>
          <w:sz w:val="28"/>
          <w:lang w:val="pt-BR"/>
        </w:rPr>
        <w:t>i dung sau:</w:t>
      </w:r>
    </w:p>
    <w:p w:rsidR="00B62594" w:rsidRPr="008354C2" w:rsidRDefault="00B62594"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(a) bản sao chứng chỉ năng lực của từng người;</w:t>
      </w:r>
    </w:p>
    <w:p w:rsidR="00B62594" w:rsidRPr="008354C2" w:rsidRDefault="00B62594"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(b) bản sao hồ sơ đào tạo thích hợp cho từng người; và</w:t>
      </w:r>
    </w:p>
    <w:p w:rsidR="0053452F" w:rsidRPr="008354C2" w:rsidRDefault="00B62594"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 bản sao hồ sơ CPD cho mỗi người.</w:t>
      </w:r>
    </w:p>
    <w:p w:rsidR="00B62594" w:rsidRPr="008354C2" w:rsidRDefault="00B62594"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Nếu một người dựa vào kinh nghiệm để chứng minh năng lực, thì người đó có thể thấy hữu ích khi duy trì hồ sơ chi tiết để hỗ trợ việc này, FSC không đưa ra quy định về việc lưu trữ hồ sơ với họ</w:t>
      </w:r>
      <w:r w:rsidR="0053452F" w:rsidRPr="008354C2">
        <w:rPr>
          <w:rFonts w:ascii="Times New Roman" w:hAnsi="Times New Roman" w:cs="Times New Roman"/>
          <w:sz w:val="28"/>
          <w:lang w:val="pt-BR"/>
        </w:rPr>
        <w:t>.</w:t>
      </w:r>
    </w:p>
    <w:p w:rsidR="00B62594" w:rsidRPr="008354C2" w:rsidRDefault="00B62594"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Tại Khung tiêu chuẩn năng lực, FSC cũng nêu rõ, nếu không tuân thủ Tiêu chuẩn năng lực sẽ khiến người được cấp phép phải thực hiện các hành động quy định theo hướng: phải đảm bảo tuân thủ Tiêu chuẩn năng lực theo mục 7 (1) (b) của Đạo luật dịch vụ tài chính 2007 và các biện pháp trừng phạt hành chính theo mục 7 (1 ) (c) của Đạo luật Dịch vụ Tài chính 2007.</w:t>
      </w:r>
    </w:p>
    <w:p w:rsidR="0053452F" w:rsidRPr="008354C2" w:rsidRDefault="0053452F" w:rsidP="0053452F">
      <w:pPr>
        <w:spacing w:after="120"/>
        <w:jc w:val="both"/>
        <w:rPr>
          <w:rFonts w:ascii="Times New Roman" w:hAnsi="Times New Roman" w:cs="Times New Roman"/>
          <w:b/>
          <w:sz w:val="28"/>
          <w:lang w:val="pt-BR"/>
        </w:rPr>
      </w:pPr>
      <w:r w:rsidRPr="008354C2">
        <w:rPr>
          <w:rFonts w:ascii="Times New Roman" w:hAnsi="Times New Roman" w:cs="Times New Roman"/>
          <w:b/>
          <w:sz w:val="28"/>
          <w:lang w:val="pt-BR"/>
        </w:rPr>
        <w:t>1.2.2. Anh</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Tại Anh Quốc, Viện Bảo hiểm Hoàng Gia Anh (CII) ban hành Khung tiêu chuẩn năng lực chuyên môn ngành bảo hiểm (The Insurance Competency Framework) và khung TCNLCM được ngành bảo hiểm Anh Quốc công nhận và sử dụng rộng rãi. Nhiều quốc gia, đặc biệt là các nước thuộc cộng đồng Anh như Úc, Canada đều ban hành Khung TCNL cho ngành bảo hiểm tương đồng với Khung TCNL của CII.</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Khung TCNLCM của CII được chia thành 5 nhóm năng lực là: năng lực kỹ thuật (Technical competencies); năng lực kinh doanh (Business competencies); năng lực chuyên gia khai thác – thẩm định  (Specialist underwriting competencies); năng lực chuyên gia trung gian (Specialist intermediary competencies) và năng lực chuyên gia bồi thường (Specialist claims competen</w:t>
      </w:r>
      <w:r w:rsidR="0071690A" w:rsidRPr="008354C2">
        <w:rPr>
          <w:rFonts w:ascii="Times New Roman" w:hAnsi="Times New Roman" w:cs="Times New Roman"/>
          <w:sz w:val="28"/>
          <w:lang w:val="pt-BR"/>
        </w:rPr>
        <w:t xml:space="preserve">cies). Trong đó: </w:t>
      </w:r>
    </w:p>
    <w:p w:rsidR="0053452F" w:rsidRPr="008354C2" w:rsidRDefault="0053452F" w:rsidP="0053452F">
      <w:pPr>
        <w:spacing w:after="120"/>
        <w:jc w:val="both"/>
        <w:rPr>
          <w:rFonts w:ascii="Times New Roman" w:hAnsi="Times New Roman" w:cs="Times New Roman"/>
          <w:i/>
          <w:sz w:val="28"/>
          <w:lang w:val="pt-BR"/>
        </w:rPr>
      </w:pPr>
      <w:r w:rsidRPr="008354C2">
        <w:rPr>
          <w:rFonts w:ascii="Times New Roman" w:hAnsi="Times New Roman" w:cs="Times New Roman"/>
          <w:i/>
          <w:sz w:val="28"/>
          <w:lang w:val="pt-BR"/>
        </w:rPr>
        <w:t>Năng lực kỹ thuật bao gồm yêu cầu về các nội dung sau:</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Các nguyên tắc và thực hành bảo hiểm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Các sản phẩm và dịch vụ bảo hiểm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Kiến thức pháp luật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Kiến thức về tuân thủ và rủi ro hoạt động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Đánh giá và chuyển giao rủi ro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Yêu cầu kiến thức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Thẩm định và định giá rủ</w:t>
      </w:r>
      <w:r w:rsidR="0071690A" w:rsidRPr="008354C2">
        <w:rPr>
          <w:rFonts w:ascii="Times New Roman" w:hAnsi="Times New Roman" w:cs="Times New Roman"/>
          <w:sz w:val="28"/>
          <w:lang w:val="pt-BR"/>
        </w:rPr>
        <w:t xml:space="preserve">i ro </w:t>
      </w:r>
    </w:p>
    <w:p w:rsidR="0053452F" w:rsidRPr="008354C2" w:rsidRDefault="0053452F" w:rsidP="0053452F">
      <w:pPr>
        <w:spacing w:after="120"/>
        <w:jc w:val="both"/>
        <w:rPr>
          <w:rFonts w:ascii="Times New Roman" w:hAnsi="Times New Roman" w:cs="Times New Roman"/>
          <w:i/>
          <w:sz w:val="28"/>
          <w:lang w:val="pt-BR"/>
        </w:rPr>
      </w:pPr>
      <w:r w:rsidRPr="008354C2">
        <w:rPr>
          <w:rFonts w:ascii="Times New Roman" w:hAnsi="Times New Roman" w:cs="Times New Roman"/>
          <w:i/>
          <w:sz w:val="28"/>
          <w:lang w:val="pt-BR"/>
        </w:rPr>
        <w:t>Năng lực kinh doanh bao gồm:</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Kiến thức về công ty và thị trường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Năng lực hiểu khách hàng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Kỹ năng giao tiếp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Quản lý thông tin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Lập kế hoạch và tổ chức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Quản lý con người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Kỹ năng đàm phán và thuyết phụ</w:t>
      </w:r>
      <w:r w:rsidR="0071690A" w:rsidRPr="008354C2">
        <w:rPr>
          <w:rFonts w:ascii="Times New Roman" w:hAnsi="Times New Roman" w:cs="Times New Roman"/>
          <w:sz w:val="28"/>
          <w:lang w:val="pt-BR"/>
        </w:rPr>
        <w:t xml:space="preserve">c </w:t>
      </w:r>
    </w:p>
    <w:p w:rsidR="0053452F" w:rsidRPr="008354C2" w:rsidRDefault="0053452F" w:rsidP="0053452F">
      <w:pPr>
        <w:spacing w:after="120"/>
        <w:jc w:val="both"/>
        <w:rPr>
          <w:rFonts w:ascii="Times New Roman" w:hAnsi="Times New Roman" w:cs="Times New Roman"/>
          <w:i/>
          <w:sz w:val="28"/>
          <w:lang w:val="pt-BR"/>
        </w:rPr>
      </w:pPr>
      <w:r w:rsidRPr="008354C2">
        <w:rPr>
          <w:rFonts w:ascii="Times New Roman" w:hAnsi="Times New Roman" w:cs="Times New Roman"/>
          <w:i/>
          <w:sz w:val="28"/>
          <w:lang w:val="pt-BR"/>
        </w:rPr>
        <w:t xml:space="preserve"> Năng lực Chuyên gia thẩm định bao gồm:</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Nhận thức và đánh giá rủi ro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Định giá rủi ro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Quy trình thẩm định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Quản lý thẩm đị</w:t>
      </w:r>
      <w:r w:rsidR="0071690A" w:rsidRPr="008354C2">
        <w:rPr>
          <w:rFonts w:ascii="Times New Roman" w:hAnsi="Times New Roman" w:cs="Times New Roman"/>
          <w:sz w:val="28"/>
          <w:lang w:val="pt-BR"/>
        </w:rPr>
        <w:t>nh</w:t>
      </w:r>
    </w:p>
    <w:p w:rsidR="0053452F" w:rsidRPr="008354C2" w:rsidRDefault="0053452F" w:rsidP="0053452F">
      <w:pPr>
        <w:spacing w:after="120"/>
        <w:jc w:val="both"/>
        <w:rPr>
          <w:rFonts w:ascii="Times New Roman" w:hAnsi="Times New Roman" w:cs="Times New Roman"/>
          <w:i/>
          <w:sz w:val="28"/>
          <w:lang w:val="pt-BR"/>
        </w:rPr>
      </w:pPr>
      <w:r w:rsidRPr="008354C2">
        <w:rPr>
          <w:rFonts w:ascii="Times New Roman" w:hAnsi="Times New Roman" w:cs="Times New Roman"/>
          <w:i/>
          <w:sz w:val="28"/>
          <w:lang w:val="pt-BR"/>
        </w:rPr>
        <w:t xml:space="preserve">Năng lực của chuyên gia trung gian BH bao gồm: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Vai trò và trách nhiệm của các trung gian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Đàm phán và giải quyết rủi ro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Hoạt động trung gian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Xử lý khiếu nạ</w:t>
      </w:r>
      <w:r w:rsidR="0071690A" w:rsidRPr="008354C2">
        <w:rPr>
          <w:rFonts w:ascii="Times New Roman" w:hAnsi="Times New Roman" w:cs="Times New Roman"/>
          <w:sz w:val="28"/>
          <w:lang w:val="pt-BR"/>
        </w:rPr>
        <w:t xml:space="preserve">i </w:t>
      </w:r>
    </w:p>
    <w:p w:rsidR="0053452F" w:rsidRPr="008354C2" w:rsidRDefault="0053452F" w:rsidP="0053452F">
      <w:pPr>
        <w:spacing w:after="120"/>
        <w:jc w:val="both"/>
        <w:rPr>
          <w:rFonts w:ascii="Times New Roman" w:hAnsi="Times New Roman" w:cs="Times New Roman"/>
          <w:i/>
          <w:sz w:val="28"/>
          <w:lang w:val="pt-BR"/>
        </w:rPr>
      </w:pPr>
      <w:r w:rsidRPr="008354C2">
        <w:rPr>
          <w:rFonts w:ascii="Times New Roman" w:hAnsi="Times New Roman" w:cs="Times New Roman"/>
          <w:i/>
          <w:sz w:val="28"/>
          <w:lang w:val="pt-BR"/>
        </w:rPr>
        <w:t>Năng lực của chuyên gia giải quyết khiếu nại bồi thường bao gồm:</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Thông báo và điều tra khiếu nại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 Giải quyết khiếu nại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Quản lý xác nhận quyền sở hữ</w:t>
      </w:r>
      <w:r w:rsidR="0071690A" w:rsidRPr="008354C2">
        <w:rPr>
          <w:rFonts w:ascii="Times New Roman" w:hAnsi="Times New Roman" w:cs="Times New Roman"/>
          <w:sz w:val="28"/>
          <w:lang w:val="pt-BR"/>
        </w:rPr>
        <w:t xml:space="preserve">u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Theo CII, năng lực có thể</w:t>
      </w:r>
      <w:r w:rsidR="0071690A" w:rsidRPr="008354C2">
        <w:rPr>
          <w:rFonts w:ascii="Times New Roman" w:hAnsi="Times New Roman" w:cs="Times New Roman"/>
          <w:sz w:val="28"/>
          <w:lang w:val="pt-BR"/>
        </w:rPr>
        <w:t xml:space="preserve"> </w:t>
      </w:r>
      <w:r w:rsidRPr="008354C2">
        <w:rPr>
          <w:rFonts w:ascii="Times New Roman" w:hAnsi="Times New Roman" w:cs="Times New Roman"/>
          <w:sz w:val="28"/>
          <w:lang w:val="pt-BR"/>
        </w:rPr>
        <w:t>được định nghĩa là kiến thức và kỹ năng mà cá nhân phải có để thực hiện một cách hiệu quả trong công việc. Do đó, khung Tiêu chuẩn năng lực là một cấu trúc đặt ra và xác định từng năng lực riêng lẻ (chẳng hạn như kiến thức sản phẩm hoặc kỹ năng giao tiếp) được yêu cầu bởi các cá nhân trên các vai trò công việc trong một tổ chức. Theo nghĩa này, khung Tiêu chuẩn năng lực nhằm cố gắng thiết lập một tiêu chuẩn khách quan tối thiểu có thể chấp nhận được về hiệu suất. Sau khi được thiết lập, Khung năng lực có thể được sử dụng để xác định khoảng trống kiến thức và kỹ năng cho cả cá nhân theo chức danh và nhà tuyển dụng.</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Tuy nhiên, năng lực cũng có thể bao hàm những kiến thức và kỹ năng mà cá nhân phải có để thực hiện một cách hiệu quả. Do đó, Khung năng lực cũng có thể hỗ trợ các lộ trình phát triển nghề nghiệp. Bằng cách xác định các cấp độ năng lực khác nhau liên quan đến vai trò công việc, các cá nhân và người quản lý của họ có thể xác định kiến thức và kỹ năng mà họ cần để phát triển cả trong vai trò hiện tại và các vai trò khác trong tổ chức/ doanh nghiệ</w:t>
      </w:r>
      <w:r w:rsidR="0071690A" w:rsidRPr="008354C2">
        <w:rPr>
          <w:rFonts w:ascii="Times New Roman" w:hAnsi="Times New Roman" w:cs="Times New Roman"/>
          <w:sz w:val="28"/>
          <w:lang w:val="pt-BR"/>
        </w:rPr>
        <w:t>p.</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Khi thiết kế Khung năng lực, điều quan trọng là phải phản ánh văn hóa và mục tiêu kinh doanh của tổ chức mà các chức danh sẽ làm việc. Sau đó, nó có thể là trọng tâm của việc thúc đẩy thành công của tổ chức. Bằng cách dành thời gian để xác định các năng lực thiết yếu để đo lường hiệu suất, các tổ chức có thể cảm thấy tự tin khi đặt nhân viên của mình vào các lĩnh vực kinh doanh mà họ có thể hiệu quả nhất.</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Theo cách hiểu đó, Khung năng lực bảo hiểm của CII được phát triển để cung cấp một công cụ hiệu quả và được đánh giá bên ngoài, có thể được sử dụng để xác định các mức năng lực tối thiểu cần thiết cho nhiều loại vai trò và mô tả công việc. Điều này đặc biệt quan trọng trong bối cảnh môi trường pháp lý, nơi nhân viên được yêu cầu chứng minh rằng họ có đủ năng lực cho công việc họ làm và duy trì và phát triển năng lực này. Khung Năng lực Bảo hiểm của CII đã được phát triển với các nhà tuyển dụng, nhân viên và đại diện thị trường để cung cấp một hướng dẫn tiêu chuẩn và tham khảo cho Ngành. Hiện nay Khung Tiêu chuẩn Năng lực Bảo hiểm của CII là một khuôn khổ chung có thể hỗ trợ một loạt các hoạt động kinh doanh cung cấp dịch vụ bảo hiểm, cả ở Vương quốc Anh và trên toàn cầu. Nó cung cấp một hướng dẫn toàn diện về kiến thức và kỹ năng có thể cần thiết cho các vai trò công việc khác nhau. Khung này được thiết kế để sử dụng như một hướng dẫn cho các tổ chức muốn phát triển khung năng lực riêng của họ. Nó cung cấp một cách tiếp cận ma trận, theo đó người sử dụng lao động có thể chọn những yếu tố phù hợp với vai trò công việc trong tổ chức của họ. Bằng cách sử dụng Khung năng lực bảo hiểm để hỗ trợ phát triển các mô hình cụ thể của công ty họ, người sử dụng lao động sẽ thúc đẩy cả sự phát triển cá nhân và tiêu chuẩn nghề nghiệp, có thể góp phần mang lại dịch vụ khách hàng và kết quả kinh doanh được cải thiệ</w:t>
      </w:r>
      <w:r w:rsidR="0071690A" w:rsidRPr="008354C2">
        <w:rPr>
          <w:rFonts w:ascii="Times New Roman" w:hAnsi="Times New Roman" w:cs="Times New Roman"/>
          <w:sz w:val="28"/>
          <w:lang w:val="pt-BR"/>
        </w:rPr>
        <w:t>n.</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Khung được thiết kế để sử dụng chủ yếu bởi các nhà tuyển dụng, nhưng cũng có thể cung cấp hướng dẫn năng lực 'cấp cao' cho các cá nhân cho các vai trò công việc chính và con đường phát triển sự nghiệp. Bằng cách thể hiện mức độ tiến triển rõ ràng, Khung TCNL cho phép các cá nhân xác định hồ sơ công việc và tạo điều kiện thuận lợi cho việc lập kế hoạch phát triển cá nhân trong tương lai, có thể được sử dụng để tiếp tục xây dựng sự nghiệp thành công trong ngành bảo hiểm.</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Khung Năng lực Bảo hiểm của CII giúp thúc đẩy sự phát triển của các sản phẩm và dịch vụ mới. Dự định về lâu dài, Khung năng lực bảo hiểm sẽ xác định các giải pháp học tập tại CII và các đơn vị kiểm tra sẵn có để hỗ trợ việc đạt được và duy trì các cấp độ năng lực cụ thể.</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Khung năng lực bảo hiểm của CII được cấu trúc xung quanh năng lực, thay vì vai trò công việc, dẫn đến một khuôn khổ linh hoạt và giảm khả năng nhầm lẫn do sự khác biệt rộng rãi trong các vai trò công việc và thuật ngữ được sử dụng trong toàn ngành. Nhà tuyển dụng có thể lựa chọn các năng lực phù hợp với vai trò công việc trong tổ chức của họ.</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Khung TCNL phản ánh năng lực chung và năng lực chuyên gia. Năng lực chung gồm các lĩnh vực kiến thức và kỹ năng cốt lõi cần thiết cho tất cả các vai trò trong bảo hiểm, chẳng hạn như pháp lý, quy định và các nguyên tắc bảo hiểm. Năng lực Chuyên gia chủ yếu gồm Kiến thức và kỹ năng chuyên môn cần thiết cho các vai trò trong ba lĩnh vực chức năng chính là Thẩm định </w:t>
      </w:r>
      <w:r w:rsidR="0071690A" w:rsidRPr="008354C2">
        <w:rPr>
          <w:rFonts w:ascii="Times New Roman" w:hAnsi="Times New Roman" w:cs="Times New Roman"/>
          <w:sz w:val="28"/>
          <w:lang w:val="pt-BR"/>
        </w:rPr>
        <w:t>bảo hiểm</w:t>
      </w:r>
      <w:r w:rsidRPr="008354C2">
        <w:rPr>
          <w:rFonts w:ascii="Times New Roman" w:hAnsi="Times New Roman" w:cs="Times New Roman"/>
          <w:sz w:val="28"/>
          <w:lang w:val="pt-BR"/>
        </w:rPr>
        <w:t xml:space="preserve">, trung gian </w:t>
      </w:r>
      <w:r w:rsidR="0071690A" w:rsidRPr="008354C2">
        <w:rPr>
          <w:rFonts w:ascii="Times New Roman" w:hAnsi="Times New Roman" w:cs="Times New Roman"/>
          <w:sz w:val="28"/>
          <w:lang w:val="pt-BR"/>
        </w:rPr>
        <w:t>bảo hiểm</w:t>
      </w:r>
      <w:r w:rsidRPr="008354C2">
        <w:rPr>
          <w:rFonts w:ascii="Times New Roman" w:hAnsi="Times New Roman" w:cs="Times New Roman"/>
          <w:sz w:val="28"/>
          <w:lang w:val="pt-BR"/>
        </w:rPr>
        <w:t xml:space="preserve"> và yêu cầu bồi thường </w:t>
      </w:r>
      <w:r w:rsidR="0071690A" w:rsidRPr="008354C2">
        <w:rPr>
          <w:rFonts w:ascii="Times New Roman" w:hAnsi="Times New Roman" w:cs="Times New Roman"/>
          <w:sz w:val="28"/>
          <w:lang w:val="pt-BR"/>
        </w:rPr>
        <w:t>bảo hiểm</w:t>
      </w:r>
      <w:r w:rsidRPr="008354C2">
        <w:rPr>
          <w:rFonts w:ascii="Times New Roman" w:hAnsi="Times New Roman" w:cs="Times New Roman"/>
          <w:sz w:val="28"/>
          <w:lang w:val="pt-BR"/>
        </w:rPr>
        <w:t>.</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Các năng lực được quy định chung chung để:</w:t>
      </w:r>
    </w:p>
    <w:p w:rsidR="0071690A"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có thể được áp dụng cho các vị trí công việc ở bất kỳ đâu trên thế giới. Ví dụ: các năng lực đề cập đến cơ quan quản lý thay vì cơ quan quản lý cụ thể của Vương quố</w:t>
      </w:r>
      <w:r w:rsidR="0071690A" w:rsidRPr="008354C2">
        <w:rPr>
          <w:rFonts w:ascii="Times New Roman" w:hAnsi="Times New Roman" w:cs="Times New Roman"/>
          <w:sz w:val="28"/>
          <w:lang w:val="pt-BR"/>
        </w:rPr>
        <w:t>c Anh là FCA</w:t>
      </w:r>
      <w:r w:rsidRPr="008354C2">
        <w:rPr>
          <w:rFonts w:ascii="Times New Roman" w:hAnsi="Times New Roman" w:cs="Times New Roman"/>
          <w:sz w:val="28"/>
          <w:lang w:val="pt-BR"/>
        </w:rPr>
        <w:tab/>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vẫn có hiệu lực hiện hành ngay cả khi các chi tiết cụ thể thay đổi, chẳng hạn như các yêu cầu pháp lý và quy định. Ví dụ, các năng lực đề cập đến luật Tội phạm Tài chính hơn là đề cập tới các Quy định cụ thể về rửa tiền</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có thể được áp dụng trong bối cảnh của các vai trò công việc cụ thể trong các tổ chức cá nhân. Ví dụ, các năng lực đề cập đến luật liên quan chứ không phải là Đạo luật cụ thể về sức khỏe và an toàn tại nơi làm việc của Vương quốc Anh.</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Khung TCNL chuyên môn bảo hiểm của CII gắn liền với các chương trình đào tạo. Mỗi khung TCNL chuyên gia được quản lý bởi 1 Khoa của CII có liên quan. Các Khoa làm việc liên tục với các chuyên gia chủ đề từ thị trường để đảm bảo rằng các khung chuyên môn luôn phù hợp và cập nhật.</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Để duy trì trọng tâm của Khung TCNL là chuyên môn bảo hiểm và tránh việc trở nên khó sử dụng, khung năng lực không bao gồm năng lực chuyên môn cho các lĩnh vực sau:</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Các vai trò hỗ trợ kinh doanh như Nhân sự, Học tập và Phát triển: Tại Anh, các khuôn khổ khác đã có sẵn cho các lĩnh vực này.</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Lãnh đạo và quản lý: đã có các khuôn khổ khác có sẵn liên quan.</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Các dịch vụ liên quan đến bảo hiểm, chẳng hạn như Sửa chữa Khẩn cấp, Dịch vụ Sự cố và Hô trợ y tế.</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Các cấp độ: Mỗi năng lực được chia thành 4 cấp độ cung cấp một lộ trình từ cấp độ nhập môn/ giới thiệu đến cấp độ chuyên gia:</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Cấp độ/ Giai đoạn 1 – Giới thiệu (introduction: hiểu nghĩa các nguyên tắc cơ bản của bảo hiểm.</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Cấp độ/ Giai đoạn 2 - Năng lực cốt lõi (core competence:vận dụng các nguyên tắc cơ bản của bảo hiểm vào các tình huống công việc hàng ngày.</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Cấp độ/ Giai đoạn 3 - Năng lực chính (key competence: chỉ ra được các tình huống được phân chia theo tác động của các nguyên tắc cơ bản về bảo hiểm và vận dụng các nguyên tắc cơ bản bảo hiểm để giải quyết các tình huống phức tạp.</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Cấp độ/ Giai đoạn 4 – Năng lực Chuyên nghiệp/chuyên gia (professional/ exper): biết áp dụng các khái niệm, lý thuyết, ý tưởng mới vào các tình huống mới nổi mà có thể chịu tác động của nguyên tắc cơ bản bảo hiểm. Ra các quyết định chiến lược đối với các tình huống ảnh hưởng tác động bởi các nguyên tắc cơ bản của bảo hiểm nhằm đáp ứng mụ</w:t>
      </w:r>
      <w:r w:rsidR="004D397E" w:rsidRPr="008354C2">
        <w:rPr>
          <w:rFonts w:ascii="Times New Roman" w:hAnsi="Times New Roman" w:cs="Times New Roman"/>
          <w:sz w:val="28"/>
          <w:lang w:val="pt-BR"/>
        </w:rPr>
        <w:t xml:space="preserve">c tiêu kinh doanh. </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Đối với mỗi cấp độ, cấp độ thấp hơn thì kiến thức cũng ở cấp độ thấp hơn. Mối quan hệ giữa các cấp độ có thể được minh họa bằng cách sử dụng Năng lực Kỹ thuật liên quan đến các nguyên tắc bảo hiểm của các cấp độ. Ví dụ, một số hoặc tất cả các Năng lực sẽ vẫn có liên quan đến các lĩnh vực chuyên môn cụ thể, chẳng hạn như Điều chỉnh tổn thất, Tái bảo hiểm, Tuân thủ, Khảo sát và Kiểm soát tổn thất.</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Mối quan hệ giữa các cấp độ bằng cấp chứng chỉ của CII với Khung tiêu chuẩn năng lực chuyên môn bảo hiểm có thể được mô tả qua bảng trên. Theo đó, cấp độ 1 (giai đoạn 1) của Khung TCNL là Giới thiệu ngành bảo hiểm, thì tương ứng với hệ thống bằng cấp chứng chỉ của CII là kỳ thi bảo hiểm cơ bản, theo đó yêu cầu học tập đặt ra là phải biết, nêu lên được các định nghĩa, khái niệm cơ bản về bảo hiểm. Tại Cấp độ 2 Khung TCNL quy định các năng lực cốt lõi sẽ tương ứng với chứng chỉ về bảo hiểm của CII, theo đó năng lực xác định là hiểu biết, xác định, định ra được các năng lực cốt lõi về bảo hiểm. Tương ứng với cấp độ 3 trong khung TCNL là năng lực cơ bản, là bằng của CII về bảo hiểm, đảm bảo năng lực hiểu, vận dụng, diễn giải, mô tả, chứng minh, phân biệt, phân tích những kiến thức cơ bản về bảo hiểm. Đối với cấp độ 4 là năng lực chuyên nghiệp, chuyên gia, thì CII có bằng nâng cao về bảo hiểm, theo đó năng lực đảm bảo là hiểu, ứng dụng, kiểm tra, rà soát, phân tích, bình luận phản biện, đánh giá, nhận định về các nội dung năng lực bảo hiể</w:t>
      </w:r>
      <w:r w:rsidR="004D397E" w:rsidRPr="008354C2">
        <w:rPr>
          <w:rFonts w:ascii="Times New Roman" w:hAnsi="Times New Roman" w:cs="Times New Roman"/>
          <w:sz w:val="28"/>
          <w:lang w:val="pt-BR"/>
        </w:rPr>
        <w:t>m liên quan.</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CII cũng hướng dẫn việc triển khai khung tiêu chuẩn năng lực tại các tổ chức gồm 7 bước: xác định toàn bộ nhóm nghề/ họ nghề; đối với mỗi nhóm nghề xác định các năng lực và cấp độ phù hợp; đặt ra các thước đo cụ thể phù hợp với từng cấp độ theo nhóm nghề; đánh giá mỗi cá nhân theo năng lực chuẩn cho từng vị trí chức danh; phát triển việc học bù vào mỗi năng lực còn thiếu của mỗi cấp độ năng lực; xác định đâu là các kỹ năng mới cần thiết cho mỗi cá nhân trong tương lai và đặt ra lộ trình học tập phù hợp; rà soát, đánh giá khung năng lực của công ty theo các tiêu thức phù hợ</w:t>
      </w:r>
      <w:r w:rsidR="004D397E" w:rsidRPr="008354C2">
        <w:rPr>
          <w:rFonts w:ascii="Times New Roman" w:hAnsi="Times New Roman" w:cs="Times New Roman"/>
          <w:sz w:val="28"/>
          <w:lang w:val="pt-BR"/>
        </w:rPr>
        <w:t>p.</w:t>
      </w:r>
    </w:p>
    <w:p w:rsidR="0053452F" w:rsidRPr="008354C2" w:rsidRDefault="0053452F" w:rsidP="0053452F">
      <w:pPr>
        <w:spacing w:after="120"/>
        <w:jc w:val="both"/>
        <w:rPr>
          <w:rFonts w:ascii="Times New Roman" w:hAnsi="Times New Roman" w:cs="Times New Roman"/>
          <w:sz w:val="28"/>
          <w:lang w:val="pt-BR"/>
        </w:rPr>
      </w:pPr>
      <w:r w:rsidRPr="008354C2">
        <w:rPr>
          <w:rFonts w:ascii="Times New Roman" w:hAnsi="Times New Roman" w:cs="Times New Roman"/>
          <w:sz w:val="28"/>
          <w:lang w:val="pt-BR"/>
        </w:rPr>
        <w:t>Những điểm sau đây của thực hành tốt Khung TCNL cần được ghi nhớ:</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Thu hút sự tham gia của các nhà quản lý trực tiếp và các đại diện khác ở giai đoạn đầu để họ là một phần của những gì đang diễn ra, thay vì có cảm giác đang áp đặt lên họ.</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Các năng lực chỉ là một hướng dẫn và được thiết kế để cá nhân hóa bởi mỗi tổ chức sử dụng chúng. Có thể có một số nội dung không liên quan và cần được xóa bỏ. Ngoài ra, bạn có thể muốn thay thế một số nội dung chung chung bằng các từ ngữ và ví dụ cụ thể hơn.Việc bổ sung các biện pháp về năng lực cá nhân có nghĩa là các cá nhân có thể được đánh giá dựa trên khung năng lực một cách khách quan hơn. Ví dụ: Năng lực Giai đoạn 2 ‘Áp dụng các nguyên tắc cốt lõi của bảo hiểm vào các tình huống hàng ngày’ có thể trở thành ‘Đưa ra 4 ví dụ về việc áp dụng các nguyên tắc cốt lõi của bảo hiểm vào các tình huống hàng ngày’.</w:t>
      </w:r>
    </w:p>
    <w:p w:rsidR="0053452F"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Đối với một số vai trò công việc, khung năng lực bảo hiểm có thể được liên kết với các cấp thẩm quyền và theo đó là năng lực để xem xét phê duyệt.</w:t>
      </w:r>
    </w:p>
    <w:p w:rsidR="00B62594" w:rsidRPr="008354C2" w:rsidRDefault="0053452F" w:rsidP="004D397E">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Khung TCNL có thể hữu ích khi trình bày khuôn khổ dưới dạng ma trận.</w:t>
      </w:r>
    </w:p>
    <w:p w:rsidR="004D397E" w:rsidRPr="008354C2" w:rsidRDefault="00C76319" w:rsidP="004D397E">
      <w:pPr>
        <w:spacing w:after="120"/>
        <w:jc w:val="both"/>
        <w:rPr>
          <w:rFonts w:ascii="Times New Roman" w:hAnsi="Times New Roman" w:cs="Times New Roman"/>
          <w:b/>
          <w:sz w:val="28"/>
          <w:lang w:val="pt-BR"/>
        </w:rPr>
      </w:pPr>
      <w:r w:rsidRPr="008354C2">
        <w:rPr>
          <w:rFonts w:ascii="Times New Roman" w:hAnsi="Times New Roman" w:cs="Times New Roman"/>
          <w:b/>
          <w:sz w:val="28"/>
          <w:lang w:val="pt-BR"/>
        </w:rPr>
        <w:t>1.2.3. Úc</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Tại Úc, chất lượng hoạt động đào tạo trong lĩnh vực dịch vụ tài chính được quản lý chặt chẽ thông qua việc cơ quan quản lý giáo dục ban hành các quy định cụ thể về nội dung đào tạo, chương trình đào tạo, yêu cầu đối với công tác đào tạo và thi chứng chỉ. Cơ quan quản lý chất lượng đào tạo và cơ quan quản lý dịch vụ tài chính cùng quản lý, giám sát các yêu cầu này.</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Với sự hỗ trợ kinh phí của Chính phủ, Cơ quan Đào tạo Quốc gia Úc (ANTA) đã hoàn thành xây dựng và ban hành Bộ sách hoàn chỉnh về dịch vụ tài chính (Gói Đào tạo Dịch vụ Tài chính). Trong đó Bộ số 5 là bộ tài liệu đào tạo các năng lực khối bảo hiểm phi nhân thọ. Các chương trình/ môn học của các gói đào tạo dịch vụ bảo hiểm phi nhân thọ nói riêng, bảo hiểm nói chung đều tương thích với tiêu chuẩn năng lực chuyên môn dịch vụ tài chính theo pháp luật quy định và do đó tương thích hoàn toàn với khung tiêu chuẩn năng lực trong lĩnh vực bảo hiểm mà các hiệp hội bảo hiểm nhân thọ, phi nhân thọ ban hành, sử dụng rộng rãi trên thị trường.Các tài liệu đào tạo này đều Ủy ban Chất lượng Đào tạo Quốc gia xác nhận vào tháng 6 năm 1999 và được các Bộ trưởng liên quan đồng ý. </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Các tài liệu đào tạo về bảo hiểm này được thống nhất sử dụng trên toàn nước Úc và là các chương trình đào tạo theo đơn vị năng lực (unit of competence). Tài liệu được xem xét thông qua bởi các tổ chức trong ngành như Hội đồng Bảo hiểm Úc (ICA), Viện Bảo hiểm Úc (AII), Các nhà Bảo hiểm của Úc (IMA), và lấy ý kiến rộng rãi, nhận được sự đóng góp của các đại diện từ lĩnh vực Dịch vụ Tài chính - Bảo hiểm.</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Tiêu chuẩn năng lực tại Bộ tài liệu cho phép công nhận các kỹ năng hiện có của những người làm việc trong ngành và chúng có thể được sử dụng để phát triển bản mô tả công việc và xác định nhu cầu đào tạo của các công ty và cá nhân. Theo đó, việc xây dựng và chứng thực các tiêu chuẩn năng lực của tài liệu cũng là khung trình độ cho lĩnh vực bảo hiểm nói chung sẽ cung cấp:</w:t>
      </w:r>
    </w:p>
    <w:p w:rsidR="00C76319" w:rsidRPr="008354C2" w:rsidRDefault="00C76319" w:rsidP="005C32A0">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Con đường sự nghiệp cho những người làm việc trong lĩnh vực bảo hiểm nói chung và</w:t>
      </w:r>
    </w:p>
    <w:p w:rsidR="00C76319" w:rsidRPr="008354C2" w:rsidRDefault="00C76319" w:rsidP="005C32A0">
      <w:pPr>
        <w:spacing w:after="120"/>
        <w:ind w:firstLine="720"/>
        <w:jc w:val="both"/>
        <w:rPr>
          <w:rFonts w:ascii="Times New Roman" w:hAnsi="Times New Roman" w:cs="Times New Roman"/>
          <w:sz w:val="28"/>
          <w:lang w:val="pt-BR"/>
        </w:rPr>
      </w:pPr>
      <w:r w:rsidRPr="008354C2">
        <w:rPr>
          <w:rFonts w:ascii="Times New Roman" w:hAnsi="Times New Roman" w:cs="Times New Roman"/>
          <w:sz w:val="28"/>
          <w:lang w:val="pt-BR"/>
        </w:rPr>
        <w:t>• Một khuôn khổ quốc gia nhất quán cho các chương trình đào tạo.</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Bộ tài liệu đào tạo của cơ quan giáo dục Quốc gia Úc cũng cho biết, Viện Bảo hiểm Úc (AII) là nhà cung cấp dịch vụ đào tạo chính về bảo hiểm nói chung. Các chương trình đào tạo của AII sẽ được điều chỉnh để chúng phù hợp với các tiêu chuẩn năng lực và lộ trình trình độ được phát triển bởi dự án xây dựng các bộ tài liệu đào tạo bảo hiểm.</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Một ví dụ điển hình cho việc đào tạo theo Khung tiêu chuẩn năng lực là chương trình đào tạo theo năng lực của Hiệp hội bảo hiểm nhân thọ (ALUCA). ALUCA đã ban hành chương trình phát triển nghề nghiệp (ALUCA's Professional Development Program) và khung chương trình được chứng nhận nghề nghiệp bảo hiểm nhân thọ chuyên nghiệp (CPLI Accreditation Framework). Nhìn chung, khung phát triển nghề nghiệp và khung chương trình đào tạo của ALUCA có chung phương pháp tiếp cận như CII tại Anh Quốc. Các năng lực cũng chia ra năng lực kỹ thuật, năng lực kinh doanh, năng lực chuyên gia. Mỗi năng lực chia theo các cấp độ gắn với 1 lộ trình phát triển/ đào tạo, cũng giả định là cấp độ thấp hơn thì đòi hỏi năng lực cũng ở yêu cầu thấp hơn. Cho dù tên gọi các cấp độ có chút khác biệt so với CII nhưng về bản chất yêu cầu cấp độ năng lực khác nhau là không thay đổi.</w:t>
      </w:r>
    </w:p>
    <w:p w:rsidR="00C76319" w:rsidRPr="008354C2" w:rsidRDefault="00C76319" w:rsidP="005C32A0">
      <w:pPr>
        <w:spacing w:before="120" w:after="120"/>
        <w:jc w:val="both"/>
        <w:rPr>
          <w:rFonts w:ascii="Times New Roman" w:hAnsi="Times New Roman" w:cs="Times New Roman"/>
          <w:sz w:val="28"/>
          <w:lang w:val="pt-BR"/>
        </w:rPr>
      </w:pPr>
      <w:r w:rsidRPr="008354C2">
        <w:rPr>
          <w:rFonts w:ascii="Times New Roman" w:hAnsi="Times New Roman" w:cs="Times New Roman"/>
          <w:sz w:val="28"/>
          <w:lang w:val="pt-BR"/>
        </w:rPr>
        <w:t>Theo đó, Khung năng lực của ALUCA cũng chia ra làm 4 cấp độ: Mới nổi, Cốt lõi, Nâng cao đến Chuyên gia.Khung năng lực của ALUCA là khung năng lực ngành thực hành tốt nhất cấp cao dành cho chức danh thẩm định bảo hiểm, Yêu cầu bồi thường dựa trên mô hình CII của Vương quốc Anh có được điều chỉnh với sự cho phép của CII đối với thị trường bảo hiểm nhân thọ Úc để phát triển và thúc đẩy các kỹ năng và năng lực yêu cầu của những vai trò này cả hiện tại và tương lai. Khung năng lực của ALUCA đã được lấy ý kiến và nhất trí của ngành công nghiệp bảo hiểm và đăng ký với ngành bảo hiểm. Các thay đổi hiện đã được kết hợp và khung năng lực ALUCA có sẵn cho tất cả các thành viên ALUCA trong trung tâm thành viên củ</w:t>
      </w:r>
      <w:r w:rsidR="005C32A0" w:rsidRPr="008354C2">
        <w:rPr>
          <w:rFonts w:ascii="Times New Roman" w:hAnsi="Times New Roman" w:cs="Times New Roman"/>
          <w:sz w:val="28"/>
          <w:lang w:val="pt-BR"/>
        </w:rPr>
        <w:t>a trang web ALUCA.</w:t>
      </w:r>
      <w:r w:rsidRPr="008354C2">
        <w:rPr>
          <w:rFonts w:ascii="Times New Roman" w:hAnsi="Times New Roman" w:cs="Times New Roman"/>
          <w:sz w:val="28"/>
          <w:lang w:val="pt-BR"/>
        </w:rPr>
        <w:tab/>
        <w:t xml:space="preserve"> Cũng tương tự như tại Vương quốc Anh, Khung tiêu chuẩn năng lực bảo hiểm nhân thọ của ALUCA chia theo 4 cấp độ (mới nổi, cốt lõi, nâng cao, chuyên gia)  đối với 5 nhóm năng lực (kỹ thuật, kinh doanh, thẩm định, trung gian, bồi thường). Mỗi cấp độ ALUCA có thể đặt ra các yêu cầu về thời gian kinh nghiệm trong ngành bảo hiểm nhân thọ và số điểm về học tập cần đạt được:</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Số điểm yêu cầu có thể đạt được thông qua các khóa học của ALUCA hoặc được quy đổi từ các bài báo chuyên ngành theo thang tham chiếu ALUCA đưa ra </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ALUCA phát triển một hệ thống đào tạo, thi sát hạch, và các điều kiện đặt ra để có được bằng cấp/ danh hiệu công nhận của ALUCA ứng với mỗi cấp độ. Cụ thể, đối với cấp độ Mới nổi, ALUCA có tư cách thành viên thông thường; cấp độ cốt lõi, ALUCA có cấp thành viên liên kết, cấp độ 3 là CPLI, cấp độ</w:t>
      </w:r>
      <w:r w:rsidR="005C32A0" w:rsidRPr="008354C2">
        <w:rPr>
          <w:rFonts w:ascii="Times New Roman" w:hAnsi="Times New Roman" w:cs="Times New Roman"/>
          <w:sz w:val="28"/>
          <w:lang w:val="pt-BR"/>
        </w:rPr>
        <w:t xml:space="preserve"> 3 và 4</w:t>
      </w:r>
      <w:r w:rsidRPr="008354C2">
        <w:rPr>
          <w:rFonts w:ascii="Times New Roman" w:hAnsi="Times New Roman" w:cs="Times New Roman"/>
          <w:sz w:val="28"/>
          <w:lang w:val="pt-BR"/>
        </w:rPr>
        <w:t>;</w:t>
      </w:r>
      <w:r w:rsidR="005C32A0" w:rsidRPr="008354C2">
        <w:rPr>
          <w:rFonts w:ascii="Times New Roman" w:hAnsi="Times New Roman" w:cs="Times New Roman"/>
          <w:sz w:val="28"/>
          <w:lang w:val="pt-BR"/>
        </w:rPr>
        <w:t xml:space="preserve"> </w:t>
      </w:r>
      <w:r w:rsidRPr="008354C2">
        <w:rPr>
          <w:rFonts w:ascii="Times New Roman" w:hAnsi="Times New Roman" w:cs="Times New Roman"/>
          <w:sz w:val="28"/>
          <w:lang w:val="pt-BR"/>
        </w:rPr>
        <w:t>là tư cách fellow hoặc fellow liên kết.</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Theo ALUCA, phát triển nghề nghiệp liên tục (CPD) là một yêu cầu chung đối với các thành viên đủ năng lực của nhiều cơ quan chuyên môn và ngành để đảm bảo họ vẫn có năng lực và cập nhật. CPD biểu thị rằng mọi người nghiêm túc về sự phát triển nghề nghiệp liên tục của họ với việc đào tạo liên quan dựa trên năng lực và kiến thức của họ. Nhiều thành viên của ALUCA thực hiện phát triển chuyên môn thông qua vai trò công việc của họ - với nhu cầu phát triển của họ thường được xác định trong đánh giá hàng năm, cũng như khi trách nhiệm/phạm vi công việc và các yêu cầu quy định của họ thay đổi, đáp ứng Quy tắc Thực hành của FSC.</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Chương trình CPD của ALUCA cung cấp một khuôn khổ thực tế và thực dụng để tiếp tục phát triển nghề nghiệp được đáp ứng theo một lộ trình có cấu trúc và dễ hiểu để đáp ứng nhu cầu cá nhân của bạn, nhu cầu của người sử dụng lao động của bạn và các yêu cầu của chương trình công nhận ALUCA là Chuyên gia được chứng nhận - Bảo hiểm nhân thọ (CPLI ). Bằng cách tham khảo các yêu cầu năng lực tối thiểu cụ thể đối với Chuyên gia bảo hiểm nhân thọ, yêu cầu bồi thường được nêu trong Khung năng lực của ALUCA, các thành viên có thể xem xét các năng lực kinh doanh, năng lực kỹ thuật và năng lực chuyên gia chính cần thiết để họ tiến bộ trong sự nghiệp của mình. Những năng lực này chuyển từ cấp độ mới nổi, sang năng lực cốt lõi, nâng cao và ở cấp cao nhất - năng lự</w:t>
      </w:r>
      <w:r w:rsidR="005C32A0" w:rsidRPr="008354C2">
        <w:rPr>
          <w:rFonts w:ascii="Times New Roman" w:hAnsi="Times New Roman" w:cs="Times New Roman"/>
          <w:sz w:val="28"/>
          <w:lang w:val="pt-BR"/>
        </w:rPr>
        <w:t>c chuyên gia.</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Chương trình công nhận thành viên đầu tiên của ALUCA được đưa ra vào năm 2015 và dựa trên lộ trình phát triển nghề nghiệp liên tục (CPD) bắt đầu khi một chuyên gia bảo hiểm nhân thọ tuyên bố trở thành thành viên ALUCA. ALUCA đã cập nhật chương trình công nhận thành viên cấp cao hơn để điều chỉnh chặt chẽ hơn với khung năng lực ALUCA. Điều này dựa trên nghiên cứu phản hồi của các thành viên và lãnh đạo điều hành.</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Khung công nhận thành viên Bảo hiểm Nhân thọ (CPLI) và CPD là một chương trình được thiết kế để cung cấp một chương trình công nhận chuyên nghiệp và có giá trị cao đối với Bảo hiểm Nhân thọ. Từ đó nâng cao vị thế chuyên nghiệp và tiêu chuẩn cho những người thẩm định bảo hiểm, giải quyết khiếu nại bảo hiểm nhân thọ</w:t>
      </w:r>
      <w:r w:rsidR="005C32A0" w:rsidRPr="008354C2">
        <w:rPr>
          <w:rFonts w:ascii="Times New Roman" w:hAnsi="Times New Roman" w:cs="Times New Roman"/>
          <w:sz w:val="28"/>
          <w:lang w:val="pt-BR"/>
        </w:rPr>
        <w:t xml:space="preserve">. </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Chương trình CPLI chứng minh rằng những người đủ điều kiện có kinh nghiệm trong ngành bảo hiểm nhân thọ, phát triển nghề nghiệp liên tục và trình độ học vấn, đáp ứng các yêu cầu cấp cao của khung Năng lực ALUCA và yêu cầu các thành viên CPLI thực hiện chương trình CPD hàng năm để duy trì trạng thái CPLI của họ.</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Để đạt được tư cách Bảo hiểm Nhân thọ Chuyên nghiệp được Chứng nhận của ALUCA, các thành viên phải đủ điều kiện cho cấp Cộng tác viên trở lên khi họ tham gia hoặc nâng cấp từ cấp độ thành viên hiện có của họ. Hàng năm, họ phải có khả năng chứng minh rằng họ đã cập nhật các kỹ năng và kiến thức kỹ thuật của mình thông qua một chương trình phát triển chuyên môn liên tục hàng năm và tuân thủ Quy tắc Ứng xử của ALUCA và Quy tắc Thực hành của cơ quan quản lý dịch vụ tài chính (FSC). Họ cũng sẽ phải thực hiện hội thảo trên web ALUCA bắt buộc hàng năm về các yêu cầu quy định/ đạo đức.Sau đó, một thành viên được ALUCA công nhận có thể sử dụng danh nghĩa được công nhận bởi ALUCA đó. Các thành viên không có bằng cấp giáo dục liên quan phải đạt được xét công nhận dựa trên kinh nghiệp công việc (ANZIIF hiện đang cung cấp dịch vụ này).</w:t>
      </w:r>
    </w:p>
    <w:p w:rsidR="00C76319" w:rsidRPr="008354C2" w:rsidRDefault="00C76319" w:rsidP="00C76319">
      <w:pPr>
        <w:spacing w:after="120"/>
        <w:jc w:val="both"/>
        <w:rPr>
          <w:rFonts w:ascii="Times New Roman" w:hAnsi="Times New Roman" w:cs="Times New Roman"/>
          <w:sz w:val="28"/>
          <w:lang w:val="pt-BR"/>
        </w:rPr>
      </w:pP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Tư cách thành viên ALUCA CPLI được gia hạn hàng năm và một cuộc đánh giá ngẫu nhiên hàng năm đối với các thành viên (10%) sẽ được thực hiện, những người sẽ được yêu cầu nộp nhật ký phát triển nghề nghiệp nêu rõ các hoạt động phát triển nghề nghiệp của họ trong 12 tháng trướ</w:t>
      </w:r>
      <w:r w:rsidR="005C32A0" w:rsidRPr="008354C2">
        <w:rPr>
          <w:rFonts w:ascii="Times New Roman" w:hAnsi="Times New Roman" w:cs="Times New Roman"/>
          <w:sz w:val="28"/>
          <w:lang w:val="pt-BR"/>
        </w:rPr>
        <w:t>c đó.</w:t>
      </w:r>
    </w:p>
    <w:p w:rsidR="00C76319" w:rsidRPr="008354C2" w:rsidRDefault="00C76319" w:rsidP="00C76319">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Các Thành viên được Công nhận phải tham dự một hội thảo trên web của ALUCA về các quy định đạo đức/ pháp luật mỗi năm, để duy trì sự công nhận của họ, điều này có thể được ghi nhận trước.</w:t>
      </w:r>
    </w:p>
    <w:p w:rsidR="00C76319" w:rsidRPr="008354C2" w:rsidRDefault="005C32A0" w:rsidP="004D397E">
      <w:pPr>
        <w:spacing w:after="120"/>
        <w:jc w:val="both"/>
        <w:rPr>
          <w:rFonts w:ascii="Times New Roman" w:hAnsi="Times New Roman" w:cs="Times New Roman"/>
          <w:b/>
          <w:sz w:val="28"/>
          <w:lang w:val="pt-BR"/>
        </w:rPr>
      </w:pPr>
      <w:r w:rsidRPr="008354C2">
        <w:rPr>
          <w:rFonts w:ascii="Times New Roman" w:hAnsi="Times New Roman" w:cs="Times New Roman"/>
          <w:b/>
          <w:sz w:val="28"/>
          <w:lang w:val="pt-BR"/>
        </w:rPr>
        <w:t>1.2.4. Cộng hòa Ailen</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Tại Cộng Hòa Ai Len (thuộc Cộng đồng châu Âu - EU), Khung tiêu chuẩn năng lực các ngành dịch vụ tài chính ban hành dưới dạng Bộ quy tắc tiêu chuẩn năng lực do cơ quan quản lý dịch vụ tài chính ban hành (là Ngân hàng Trung ương). Bộ quy tắc này là văn bản pháp luật về các Quy định về Năng lực Tối thiểu, thay thế Bộ luật Năng lực Tối thiểu 2011 hiện có, có hiệu lực từ ngày 3 tháng 1 năm 2018.</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Phần 1 và Phần 2 của Khung quy định các tiêu chuẩn năng lực tối thiểu nhất định mà những người thuộc phạm vi điều chỉnh của Khung này phải tuân thủ (theo pháp luật của Ai Len là người thuộc di</w:t>
      </w:r>
      <w:r w:rsidR="001E0FD8" w:rsidRPr="008354C2">
        <w:rPr>
          <w:rFonts w:ascii="Times New Roman" w:hAnsi="Times New Roman" w:cs="Times New Roman"/>
          <w:sz w:val="28"/>
          <w:lang w:val="pt-BR"/>
        </w:rPr>
        <w:t>ệ</w:t>
      </w:r>
      <w:r w:rsidRPr="008354C2">
        <w:rPr>
          <w:rFonts w:ascii="Times New Roman" w:hAnsi="Times New Roman" w:cs="Times New Roman"/>
          <w:sz w:val="28"/>
          <w:lang w:val="pt-BR"/>
        </w:rPr>
        <w:t>n kiểm soát) khi thực hiện các chức năng được kiểm soát. Phần 3 của Khung này quy định chi tiết về việc công nhận các tiêu chuẩn đối với các sản phẩm tài chính bán lẻ theo mục đích của Khung. Các Quy định về Năng lực Tối thiểu được liên kết với Khung này và áp đặt các nghĩa vụ nhất định đối với các công ty được quản lý theo Mục 48 của Đạo luật Ngân hàng Trung ương (Giám sát và Thực thi) năm 2013 liên quan đến Bộ luật này. Việc tuân thủ Khung/ Bộ Quy tắc này (nếu có quy định việc tuân thủ) là một trong số các cân nhắc có thể được xem xét để quyết định xem một người có đủ sức khỏe và khả năng phù hợp để thực hiện một chức năng được kiểm soát theo nghĩa của Phần 3 của Đạo luật Cải cách Ngân hàng Trung ương 2010.</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Các Tiêu chuẩn này áp dụng cho những người thực hiện chức năng được kiểm soát trên cơ sở chuyên môn, việc thực hiện bao gồm những điều sau đây:</w:t>
      </w:r>
    </w:p>
    <w:p w:rsidR="005C32A0" w:rsidRPr="008354C2" w:rsidRDefault="005C32A0" w:rsidP="005C32A0">
      <w:pPr>
        <w:spacing w:after="120"/>
        <w:jc w:val="both"/>
        <w:rPr>
          <w:rFonts w:ascii="Times New Roman" w:hAnsi="Times New Roman" w:cs="Times New Roman"/>
          <w:b/>
          <w:i/>
          <w:sz w:val="28"/>
          <w:lang w:val="pt-BR"/>
        </w:rPr>
      </w:pPr>
      <w:r w:rsidRPr="008354C2">
        <w:rPr>
          <w:rFonts w:ascii="Times New Roman" w:hAnsi="Times New Roman" w:cs="Times New Roman"/>
          <w:b/>
          <w:i/>
          <w:sz w:val="28"/>
          <w:lang w:val="pt-BR"/>
        </w:rPr>
        <w:t>A. Các hoạt động được quản lý ngoài các dịch vụ hoặc hoạt động MiFID (MiFID là các công cụ thị trường tài chính do EU quy định):</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(i) cung cấp lời khuyên hoặc thông tin cho người tiêu dùng về các sản phẩm tài chính bán lẻ;</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(ii) sắp xếp hoặc đề nghị thu xếp các sản phẩm tài chính bán lẻ cho người tiêu dùng, bao gồm bất kỳ sửa đổi nào đối với bảo hiểm và việc cơ cấu lại hoặc giãn nợ; hoặc là</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(iii) thực hiện một chức năng cụ thể được nêu.</w:t>
      </w:r>
    </w:p>
    <w:p w:rsidR="005C32A0" w:rsidRPr="008354C2" w:rsidRDefault="005C32A0" w:rsidP="005C32A0">
      <w:pPr>
        <w:spacing w:after="120"/>
        <w:jc w:val="both"/>
        <w:rPr>
          <w:rFonts w:ascii="Times New Roman" w:hAnsi="Times New Roman" w:cs="Times New Roman"/>
          <w:b/>
          <w:i/>
          <w:sz w:val="28"/>
          <w:lang w:val="pt-BR"/>
        </w:rPr>
      </w:pPr>
      <w:r w:rsidRPr="008354C2">
        <w:rPr>
          <w:rFonts w:ascii="Times New Roman" w:hAnsi="Times New Roman" w:cs="Times New Roman"/>
          <w:b/>
          <w:i/>
          <w:sz w:val="28"/>
          <w:lang w:val="pt-BR"/>
        </w:rPr>
        <w:t>B. Các dịch vụ hoặc hoạt động MiFID:</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(i) cung cấp lời khuyên hoặc thông tin cho khách hàng bán lẻ và khách hàng chuyên nghiệp chọn lọc về: các sản phẩm đầu tư MiFID; hoặc là các dịch vụ hoặc hoạt động được nêu trong Mục A, mục (1) đến (4) và Mục B, mục (2), của Phụ lục I của MiFID II;</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(ii) sắp xếp hoặc đề nghị thu xếp các sản phẩm đầu tư MiFID cho khách hàng bán lẻ và khách hàng chuyên nghiệp được chọn, bao gồm các dịch vụ hoặc hoạt động được quy định trong Mục A, mục (1) đến (4) và Mục B, mục (2), của Phụ lục I sang MiFID II; hoặc là</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(iii) thực hiện một chức năng cụ thể thuộc đượ</w:t>
      </w:r>
      <w:r w:rsidR="001E0FD8" w:rsidRPr="008354C2">
        <w:rPr>
          <w:rFonts w:ascii="Times New Roman" w:hAnsi="Times New Roman" w:cs="Times New Roman"/>
          <w:sz w:val="28"/>
          <w:lang w:val="pt-BR"/>
        </w:rPr>
        <w:t>c nêu.</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Một người thực hiện các chức năng có kiểm soát sẽ không được coi là tuân thủ các Tiêu chuẩn này, trừ khi người đó đáp ứng các Tiêu chuẩn quy định như có một hoặc nhiều bằng cấp, chứng chỉ được công nhận có liên quan đến chức năng được thực hiện; hoặc là là một người được công nhận đủ điều kiện. Một số chức năng còn đòi hỏi điều kiện về kinh nghiệm làm việc trong lĩnh vực liên quan.Người mới tham gia vào quá trình đào tạo được giám sát bởi những người đủ tiêu chuẩn và đáp ứng tiêu chuẩn đào tạo liên tục CPD cũng được coi là đủ điều kiệ</w:t>
      </w:r>
      <w:r w:rsidR="001E0FD8" w:rsidRPr="008354C2">
        <w:rPr>
          <w:rFonts w:ascii="Times New Roman" w:hAnsi="Times New Roman" w:cs="Times New Roman"/>
          <w:sz w:val="28"/>
          <w:lang w:val="pt-BR"/>
        </w:rPr>
        <w:t>n.</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Một người mới tham gia làm việc tại vị trí chức năng có kiểm soát (controlled function) phải tuân thủ các Tiêu chuẩn năng lực chuyên môn bao gồm các yêu cầu về Đào tạo ban đầu do công ty được quản lý tổ chức (là đào tạo có liên quan đến chức năng sẽ thực hiện hoặc đã đạt được một phần của bằng cấp được công nhận có liên quan cho chức năng cụ thể đó) và yêu cầu về việc phải được chỉ đạo, giám sát của một người được chỉ định khác (người này đáp ứng các Tiêu chuẩn). Các tài liệu liên quan đến thực hiện chức năng công việc phải được kiểm tra và chấp thuận bằng văn bản bởi một người đáp ứng các Tiêu chuẩn.</w:t>
      </w:r>
      <w:r w:rsidR="001E0FD8" w:rsidRPr="008354C2">
        <w:rPr>
          <w:rFonts w:ascii="Times New Roman" w:hAnsi="Times New Roman" w:cs="Times New Roman"/>
          <w:sz w:val="28"/>
          <w:lang w:val="pt-BR"/>
        </w:rPr>
        <w:t xml:space="preserve"> </w:t>
      </w:r>
      <w:r w:rsidRPr="008354C2">
        <w:rPr>
          <w:rFonts w:ascii="Times New Roman" w:hAnsi="Times New Roman" w:cs="Times New Roman"/>
          <w:sz w:val="28"/>
          <w:lang w:val="pt-BR"/>
        </w:rPr>
        <w:t>Người mới phải làm việc hướng tới có được một bằng cấp được công nhận (nên cần đăng ký vị trí tham gia đầu tiên có sẵn trong kỳ kiểm tra liên quan mà người đó có thể được dự kiến sẽ tham gia một cách hợp lý, và nếu người đó không vượt qua kỳ kiểm tra vào dịp đó, phải tham gia mỗi vị trí có sẵn sau đó cho đến khi người đó đạt được chứng chỉ; người mới cần hướng tới việc đạt được các kỳ thi đánh giá chứng chỉ liên quan một cách nhất quán và kịp thời, cho đến khi hoàn thành; và duy trì hồ sơ về tất cả các kỳ thi đã hoàn thành, các kết quả thu được và các kỳ thi được lên lịch hoàn thành). Người mới cần làm việc để có được kinh nghiệm phù hợp theo  yêu cầu tiêu chuẩn năng lực (nếu có).</w:t>
      </w:r>
      <w:r w:rsidR="001E0FD8" w:rsidRPr="008354C2">
        <w:rPr>
          <w:rFonts w:ascii="Times New Roman" w:hAnsi="Times New Roman" w:cs="Times New Roman"/>
          <w:sz w:val="28"/>
          <w:lang w:val="pt-BR"/>
        </w:rPr>
        <w:t xml:space="preserve"> </w:t>
      </w:r>
      <w:r w:rsidRPr="008354C2">
        <w:rPr>
          <w:rFonts w:ascii="Times New Roman" w:hAnsi="Times New Roman" w:cs="Times New Roman"/>
          <w:sz w:val="28"/>
          <w:lang w:val="pt-BR"/>
        </w:rPr>
        <w:t>Phải lưu hồ sơ về kinh nghiệm này để chứng minh rằng họ đã đáp ứng yêu cầu. Thời hạn tối đa mà một học viên mới có thể tham gia vào quá trình đào tạo tổng cộng là bốn năm.</w:t>
      </w:r>
      <w:r w:rsidR="001E0FD8" w:rsidRPr="008354C2">
        <w:rPr>
          <w:rFonts w:ascii="Times New Roman" w:hAnsi="Times New Roman" w:cs="Times New Roman"/>
          <w:sz w:val="28"/>
          <w:lang w:val="pt-BR"/>
        </w:rPr>
        <w:t xml:space="preserve"> </w:t>
      </w:r>
      <w:r w:rsidRPr="008354C2">
        <w:rPr>
          <w:rFonts w:ascii="Times New Roman" w:hAnsi="Times New Roman" w:cs="Times New Roman"/>
          <w:sz w:val="28"/>
          <w:lang w:val="pt-BR"/>
        </w:rPr>
        <w:t>Điều chỉnh thời gian học theo tỷ lệ có thể được áp dụng cho yêu cầu có được bằng cấp được công nhận phù hợp và kinh nghiệm liên quan trong vòng bốn năm trong một số các trường hợp đặc biệt (thai sản, ố</w:t>
      </w:r>
      <w:r w:rsidR="001E0FD8" w:rsidRPr="008354C2">
        <w:rPr>
          <w:rFonts w:ascii="Times New Roman" w:hAnsi="Times New Roman" w:cs="Times New Roman"/>
          <w:sz w:val="28"/>
          <w:lang w:val="pt-BR"/>
        </w:rPr>
        <w:t>m đau…).</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Khi một người thực hiện chức năng được kiểm soát, người đó phải hoạt động theo một kịch bản do một người đáp ứng các Tiêu chuẩn của Quy tắc này; phải hoàn thành một chương trình đào tạo, do công ty được quản lý tổ chức thay mặt người đó đang hành động, có liên quan đến chức năng sẽ được thực hiện hoặc đã đạt được một phần của bằng cấp được công nhận phù hợp cho chức năng cụ thể đó;Người đó phải hoàn thành khóa đào tạo bổ sung liên tục, liên quan đến chức năng được thực hiện, để cập nhật kiến thức của họ. Ngoài ra họ phải chuyển các yêu cầu tư vấn hoặc thông tin nằm ngoài nội dung cụ thể của kịch bản trên cho một người đáp ứng các Tiêu chuẩn quy định của Quy tắc này cho chức năng đó, phải hoạt động dưới sự giám sát của một người đáp ứng các Tiêu chuẩn quy định cho chức năng đó.</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Bộ quy tắc/ khung tiêu chuẩn năng lực đặt ra yêu cầu đào tạo liên tục (CPD) như sau:</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a) Một người tuân theo Quy tắc này và là người có bằng cấp được công nhận với sự chỉ định chuyên môn, việc duy trì liên tục của bằng cấp phụ thuộc vào việc hoàn thành CPD, sẽ được coi là đã tuân thủ phần này khi người đó đã hoàn thành xuất sắc các yêu cầu CPD của bằng cấp được công nhận đó.</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b) Một người tuân theo Bộ luật này và là người có bằng cấp được công nhận, việc duy trì liên tục bằng cấp đó không phụ thuộc vào việc hoàn thành CPD, có hiệu lực từ ngày 1 tháng 1 năm 2012, hoàn thành 15 giờ CPD mỗi năm.</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c) Một người lớn tuổi phải hoàn thành 15 giờ CPD mỗi năm.</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d) Một người được coi trọng về (các) chức năng sẽ được thực hiện và có bằng cấp được công nhận cho các chức năng khác phải hoàn thành tổng cộng 15 giờ CPD mỗi năm. Nội dung của giờ CPD phải phù hợp với các chức năng mà cá nhân đó là người có trình độ và người có năng lực. Ví dụ, một cá nhân có bằng cấp về các hợp đồng bảo hiểm nói chung cá nhân và có đủ điều kiện về lương hưu phải đảm bảo rằng CPD đã thực hiện bao gồm cả bảo hiểm chung cá nhân và lương hưu.</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e) Một người phải hoàn thành ít nhất một giờ CPD mỗi năm cho mỗi chức năng đảm nhận thuộc phạm vi của các Tiêu chuẩn này.</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f) Một người phải hoàn thành ít nhất một giờ CPD mỗi năm liên quan đến đạo đức.</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g) Số giờ làm thêm trong một năm không được chuyển sang năm sau.</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h) Trường hợp một người không hoàn thành 15 giờ CPD trong bất kỳ năm nào, khoản thiếu hụt có thể được bù đắp vào cuối năm sau (ngoài yêu cầu cho năm CPD đó) với điều kiện người đó không bị thiếu hụt khác trong năm năm qua.</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Theo mục đích của Khung tiêu chuẩn năng lực/ Quy tắc này, các sản phẩm bảo hiểm nhân thọ, bảo hiểm cá nhân, bảo hiểm thương mại, bảo hiểm y tế, một số bảo hiểm liên kết đều được coi là các sản phẩm tài chính bán lẻ và phải tuân thủ quy định về tiêu chuẩn năng lực tối thiểu cho việc tư vấn, phân phối sản phẩm tài chính bán lẻ tại Khung tiêu chuẩ</w:t>
      </w:r>
      <w:r w:rsidR="001E0FD8" w:rsidRPr="008354C2">
        <w:rPr>
          <w:rFonts w:ascii="Times New Roman" w:hAnsi="Times New Roman" w:cs="Times New Roman"/>
          <w:sz w:val="28"/>
          <w:lang w:val="pt-BR"/>
        </w:rPr>
        <w:t>n này.</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Liên quan đến lĩnh vực bảo hiểm, các chức năng cụ thể cần tuân thủ các tiêu chuẩn năng lực tối thiểu quy định tại Khung TCNL này</w:t>
      </w:r>
      <w:r w:rsidR="001E0FD8" w:rsidRPr="008354C2">
        <w:rPr>
          <w:rFonts w:ascii="Times New Roman" w:hAnsi="Times New Roman" w:cs="Times New Roman"/>
          <w:sz w:val="28"/>
          <w:lang w:val="pt-BR"/>
        </w:rPr>
        <w:t xml:space="preserve"> </w:t>
      </w:r>
      <w:r w:rsidRPr="008354C2">
        <w:rPr>
          <w:rFonts w:ascii="Times New Roman" w:hAnsi="Times New Roman" w:cs="Times New Roman"/>
          <w:sz w:val="28"/>
          <w:lang w:val="pt-BR"/>
        </w:rPr>
        <w:t>là các chức năng:</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Hỗ trợ người tiêu dùng trong việc yêu cầu bồi thường theo hợp đồng bảo hiểm;</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Xác định kết quả của các khiếu nại của người tiêu dùng phát sinh theo hợp đồng bảo hiểm;</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Hành động cho hoặc thay mặt cho một công ty được quy định trong việc quản lý hoặc giám sát trực tiếp những người hành động cho hoặc thay mặt cho công ty được quy định đó trong việc cung cấp lời khuyên hoặc thông tin cho người tiêu dùng về các sản phẩm tài chính bán lẻ hoặc người sắp xếp hoặc đề nghị thu xếp tài chính bán lẻ sản phẩm cho người tiêu dùng hoặc những người thực hiện các chức năng nêu trên.</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Xét xử bất kỳ khiếu nại nào do người tiêu dùng gửi đến công ty được quản lý liên quan đến lời khuyên hoặc thông tin về sản phẩm tài chính bán lẻ được cung cấp cho người tiêu dùng đó hoặc việc thu xếp hoặc đề nghị thu xếp sản phẩm tài chính bán lẻ cho người tiêu dùng đó hoặc người thực hiện hàm tại các chức năng trên;</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Tham gia trực tiếp vào hoạt động phân phối tái bảo hiểm, như được định nghĩa trong Chỉ thị 2016/97 của Nghị viện Châu Âu và của Hội đồng ngày 20 tháng 1 năm 2016 về phân phối bảo hiểm:</w:t>
      </w:r>
      <w:r w:rsidR="001E0FD8" w:rsidRPr="008354C2">
        <w:rPr>
          <w:rFonts w:ascii="Times New Roman" w:hAnsi="Times New Roman" w:cs="Times New Roman"/>
          <w:sz w:val="28"/>
          <w:lang w:val="pt-BR"/>
        </w:rPr>
        <w:t xml:space="preserve"> </w:t>
      </w:r>
      <w:r w:rsidRPr="008354C2">
        <w:rPr>
          <w:rFonts w:ascii="Times New Roman" w:hAnsi="Times New Roman" w:cs="Times New Roman"/>
          <w:sz w:val="28"/>
          <w:lang w:val="pt-BR"/>
        </w:rPr>
        <w:t>i) thay mặt cho một trung gian tái bảo hiểm; hoặc là ii) thay mặt cam kết tái bảo hiểm.</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Tham gia trực tiếp vào việc thiết kế các sản phẩm tài chính bán lẻ</w:t>
      </w:r>
      <w:r w:rsidR="001E0FD8" w:rsidRPr="008354C2">
        <w:rPr>
          <w:rFonts w:ascii="Times New Roman" w:hAnsi="Times New Roman" w:cs="Times New Roman"/>
          <w:sz w:val="28"/>
          <w:lang w:val="pt-BR"/>
        </w:rPr>
        <w:t>.</w:t>
      </w:r>
    </w:p>
    <w:p w:rsidR="005C32A0" w:rsidRPr="008354C2" w:rsidRDefault="005C32A0"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Mỗi một vị trí chức năng nêu trên đều được cơ quan quản lý (Ngân hàng Trung ương) đưa ra các yêu cầu về năng lực tối thiểu tại Khung tiêu chuẩn / Bộ quy tắc. Khung tiêu chuẩn năng lực này cũng đưa ra danh sách các văn bằng được công nhận. Các văn bằng sẽ được coi là có liên quan đến chức năng được thực hiện nếu nó được bao gồm trong danh sách các văn bằng được công nhận cho chức năng đó, như được nêu trong Phụ lục 4 của Bộ luật này (chẳng hạn như danh sách các văn bằng có thể được sửa đổi theo thời gian).</w:t>
      </w:r>
    </w:p>
    <w:p w:rsidR="005C32A0" w:rsidRPr="008354C2" w:rsidRDefault="001E0FD8" w:rsidP="005C32A0">
      <w:pPr>
        <w:spacing w:after="120"/>
        <w:jc w:val="both"/>
        <w:rPr>
          <w:rFonts w:ascii="Times New Roman" w:hAnsi="Times New Roman" w:cs="Times New Roman"/>
          <w:b/>
          <w:sz w:val="28"/>
          <w:lang w:val="pt-BR"/>
        </w:rPr>
      </w:pPr>
      <w:r w:rsidRPr="008354C2">
        <w:rPr>
          <w:rFonts w:ascii="Times New Roman" w:hAnsi="Times New Roman" w:cs="Times New Roman"/>
          <w:b/>
          <w:sz w:val="28"/>
          <w:lang w:val="pt-BR"/>
        </w:rPr>
        <w:t>1.2.5. Hồng Kông</w:t>
      </w:r>
    </w:p>
    <w:p w:rsidR="001E0FD8" w:rsidRPr="008354C2" w:rsidRDefault="001E0FD8" w:rsidP="005C32A0">
      <w:pPr>
        <w:spacing w:after="120"/>
        <w:jc w:val="both"/>
        <w:rPr>
          <w:rFonts w:ascii="Times New Roman" w:hAnsi="Times New Roman" w:cs="Times New Roman"/>
          <w:sz w:val="28"/>
          <w:lang w:val="pt-BR"/>
        </w:rPr>
      </w:pPr>
      <w:r w:rsidRPr="008354C2">
        <w:rPr>
          <w:rFonts w:ascii="Times New Roman" w:hAnsi="Times New Roman" w:cs="Times New Roman"/>
          <w:sz w:val="28"/>
          <w:lang w:val="pt-BR"/>
        </w:rPr>
        <w:t xml:space="preserve">Tại Hong Kong, Trung tâm tài chính, bảo hiểm quốc tế nằm tại Châu Á, cơ quan quản lý bảo hiểm đã ban hành Khung tiêu chuẩn năng lực ngành bảo hiểm Phi nhân thọ, Khung tiêu chuẩn năng lực Môi giới </w:t>
      </w:r>
      <w:r w:rsidR="00EC051C" w:rsidRPr="008354C2">
        <w:rPr>
          <w:rFonts w:ascii="Times New Roman" w:hAnsi="Times New Roman" w:cs="Times New Roman"/>
          <w:sz w:val="28"/>
          <w:lang w:val="pt-BR"/>
        </w:rPr>
        <w:t>bảo hiểm</w:t>
      </w:r>
      <w:r w:rsidRPr="008354C2">
        <w:rPr>
          <w:rFonts w:ascii="Times New Roman" w:hAnsi="Times New Roman" w:cs="Times New Roman"/>
          <w:sz w:val="28"/>
          <w:lang w:val="pt-BR"/>
        </w:rPr>
        <w:t xml:space="preserve">, Khung Tiêu chuẩn năng lực bảo hiểm nhân thọ rất chi tiết. Khung Tiêu chuẩn Năng lực (SCS) cho Ngành Bảo hiểm </w:t>
      </w:r>
      <w:r w:rsidR="00EC051C" w:rsidRPr="008354C2">
        <w:rPr>
          <w:rFonts w:ascii="Times New Roman" w:hAnsi="Times New Roman" w:cs="Times New Roman"/>
          <w:sz w:val="28"/>
          <w:lang w:val="pt-BR"/>
        </w:rPr>
        <w:t>phi nhân thọ</w:t>
      </w:r>
      <w:r w:rsidRPr="008354C2">
        <w:rPr>
          <w:rFonts w:ascii="Times New Roman" w:hAnsi="Times New Roman" w:cs="Times New Roman"/>
          <w:sz w:val="28"/>
          <w:lang w:val="pt-BR"/>
        </w:rPr>
        <w:t xml:space="preserve"> chủ yếu bao gồm các tiêu chuẩn năng lực cần thiết cho các hoạt động hiện tại và những phát triển trong tương lai của ngành. Nó bao gồm 198 Đơn vị Năng lực (Unit of Competence - UoC) được phân bổ thành 7 </w:t>
      </w:r>
      <w:r w:rsidR="00E3325D" w:rsidRPr="008354C2">
        <w:rPr>
          <w:rFonts w:ascii="Times New Roman" w:hAnsi="Times New Roman" w:cs="Times New Roman"/>
          <w:sz w:val="28"/>
          <w:lang w:val="pt-BR"/>
        </w:rPr>
        <w:t>nhóm ngành</w:t>
      </w:r>
      <w:r w:rsidRPr="008354C2">
        <w:rPr>
          <w:rFonts w:ascii="Times New Roman" w:hAnsi="Times New Roman" w:cs="Times New Roman"/>
          <w:sz w:val="28"/>
          <w:lang w:val="pt-BR"/>
        </w:rPr>
        <w:t xml:space="preserve"> chính (bán hàng và quản lý phân phối, tiếp thị,thẩm định, dịch vụ về đơn bảo hiểm, bồi thường, pháp lý – tuân thủ,hỗ trợ hoạt động và dịch vụ) ở nhiều cấp độ khác nhau (chia ra 7 cấp độ).</w:t>
      </w:r>
    </w:p>
    <w:p w:rsidR="00EC051C" w:rsidRPr="008354C2" w:rsidRDefault="001C1B9D" w:rsidP="005C32A0">
      <w:pPr>
        <w:spacing w:after="120"/>
        <w:jc w:val="both"/>
        <w:rPr>
          <w:rFonts w:ascii="Times New Roman" w:hAnsi="Times New Roman" w:cs="Times New Roman"/>
          <w:sz w:val="28"/>
        </w:rPr>
      </w:pPr>
      <w:r w:rsidRPr="008354C2">
        <w:rPr>
          <w:rFonts w:ascii="Arial" w:eastAsia="Arial" w:hAnsi="Arial" w:cs="Times New Roman"/>
          <w:noProof/>
          <w:lang w:val="vi-VN" w:eastAsia="vi-VN"/>
        </w:rPr>
        <w:drawing>
          <wp:inline distT="0" distB="0" distL="0" distR="0">
            <wp:extent cx="5753972"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759450" cy="2612335"/>
                    </a:xfrm>
                    <a:prstGeom prst="rect">
                      <a:avLst/>
                    </a:prstGeom>
                  </pic:spPr>
                </pic:pic>
              </a:graphicData>
            </a:graphic>
          </wp:inline>
        </w:drawing>
      </w:r>
    </w:p>
    <w:p w:rsidR="001C1B9D" w:rsidRPr="008354C2" w:rsidRDefault="004D0D9A" w:rsidP="001C1B9D">
      <w:pPr>
        <w:spacing w:after="120"/>
        <w:jc w:val="center"/>
        <w:rPr>
          <w:rFonts w:ascii="Times New Roman" w:hAnsi="Times New Roman" w:cs="Times New Roman"/>
          <w:i/>
          <w:sz w:val="28"/>
        </w:rPr>
      </w:pPr>
      <w:r w:rsidRPr="008354C2">
        <w:rPr>
          <w:rFonts w:ascii="Times New Roman" w:hAnsi="Times New Roman" w:cs="Times New Roman"/>
          <w:i/>
          <w:sz w:val="28"/>
        </w:rPr>
        <w:t>Hình 1</w:t>
      </w:r>
      <w:r w:rsidR="001C1B9D" w:rsidRPr="008354C2">
        <w:rPr>
          <w:rFonts w:ascii="Times New Roman" w:hAnsi="Times New Roman" w:cs="Times New Roman"/>
          <w:i/>
          <w:sz w:val="28"/>
        </w:rPr>
        <w:t xml:space="preserve">: 7 cấp độ tương ứng với 7 </w:t>
      </w:r>
      <w:r w:rsidR="00E3325D" w:rsidRPr="008354C2">
        <w:rPr>
          <w:rFonts w:ascii="Times New Roman" w:hAnsi="Times New Roman" w:cs="Times New Roman"/>
          <w:i/>
          <w:sz w:val="28"/>
        </w:rPr>
        <w:t>nhóm</w:t>
      </w:r>
      <w:r w:rsidR="001C1B9D" w:rsidRPr="008354C2">
        <w:rPr>
          <w:rFonts w:ascii="Times New Roman" w:hAnsi="Times New Roman" w:cs="Times New Roman"/>
          <w:i/>
          <w:sz w:val="28"/>
        </w:rPr>
        <w:t xml:space="preserve"> ngành nghề của </w:t>
      </w:r>
      <w:r w:rsidR="00E3325D" w:rsidRPr="008354C2">
        <w:rPr>
          <w:rFonts w:ascii="Times New Roman" w:hAnsi="Times New Roman" w:cs="Times New Roman"/>
          <w:i/>
          <w:sz w:val="28"/>
        </w:rPr>
        <w:t>khung tiêu chuẩn năng lực cho lĩnh vực bảo hiểm phi nhân thọ</w:t>
      </w:r>
    </w:p>
    <w:p w:rsidR="001C1B9D" w:rsidRPr="008354C2" w:rsidRDefault="00E3325D" w:rsidP="00E3325D">
      <w:pPr>
        <w:spacing w:after="120"/>
        <w:jc w:val="both"/>
        <w:rPr>
          <w:rFonts w:ascii="Times New Roman" w:hAnsi="Times New Roman" w:cs="Times New Roman"/>
          <w:sz w:val="28"/>
        </w:rPr>
      </w:pPr>
      <w:r w:rsidRPr="008354C2">
        <w:rPr>
          <w:rFonts w:ascii="Times New Roman" w:hAnsi="Times New Roman" w:cs="Times New Roman"/>
          <w:sz w:val="28"/>
        </w:rPr>
        <w:t xml:space="preserve">Khung tiêu chuẩn năng lực cho môi giới </w:t>
      </w:r>
      <w:r w:rsidR="00026441" w:rsidRPr="008354C2">
        <w:rPr>
          <w:rFonts w:ascii="Times New Roman" w:hAnsi="Times New Roman" w:cs="Times New Roman"/>
          <w:sz w:val="28"/>
        </w:rPr>
        <w:t>bảo hiểm</w:t>
      </w:r>
      <w:r w:rsidRPr="008354C2">
        <w:rPr>
          <w:rFonts w:ascii="Times New Roman" w:hAnsi="Times New Roman" w:cs="Times New Roman"/>
          <w:sz w:val="28"/>
        </w:rPr>
        <w:t xml:space="preserve"> cũng chủ yếu bao gồm các tiêu chuẩn năng lực cần thiết cho các hoạt động hiện tại và những phát triển trong tương lai của ngành. Khung TCNL MGBH bao gồm 99 Đơn vị Năng lực (UoC) được phân bổ thành 7 nhóm ngành chính ở nhiều cấp độ khác nhau.</w:t>
      </w:r>
    </w:p>
    <w:p w:rsidR="00E3325D" w:rsidRPr="008354C2" w:rsidRDefault="00E3325D" w:rsidP="00E3325D">
      <w:pPr>
        <w:spacing w:after="120"/>
        <w:jc w:val="center"/>
        <w:rPr>
          <w:rFonts w:ascii="Times New Roman" w:hAnsi="Times New Roman" w:cs="Times New Roman"/>
          <w:sz w:val="28"/>
        </w:rPr>
      </w:pPr>
      <w:r w:rsidRPr="008354C2">
        <w:rPr>
          <w:rFonts w:ascii="Arial" w:eastAsia="Arial" w:hAnsi="Arial" w:cs="Times New Roman"/>
          <w:noProof/>
          <w:lang w:val="vi-VN" w:eastAsia="vi-VN"/>
        </w:rPr>
        <w:drawing>
          <wp:inline distT="0" distB="0" distL="0" distR="0">
            <wp:extent cx="5759450" cy="33740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759450" cy="3374018"/>
                    </a:xfrm>
                    <a:prstGeom prst="rect">
                      <a:avLst/>
                    </a:prstGeom>
                  </pic:spPr>
                </pic:pic>
              </a:graphicData>
            </a:graphic>
          </wp:inline>
        </w:drawing>
      </w:r>
      <w:r w:rsidR="004D0D9A" w:rsidRPr="008354C2">
        <w:rPr>
          <w:rFonts w:ascii="Times New Roman" w:hAnsi="Times New Roman" w:cs="Times New Roman"/>
          <w:i/>
          <w:sz w:val="28"/>
        </w:rPr>
        <w:t>Hình 2</w:t>
      </w:r>
      <w:r w:rsidRPr="008354C2">
        <w:rPr>
          <w:rFonts w:ascii="Times New Roman" w:hAnsi="Times New Roman" w:cs="Times New Roman"/>
          <w:i/>
          <w:sz w:val="28"/>
        </w:rPr>
        <w:t xml:space="preserve">: 7 cấp độ tương ứng với 7 nhóm ngành nghề của khung tiêu chuẩn năng lực cho </w:t>
      </w:r>
      <w:r w:rsidR="003C25BD" w:rsidRPr="008354C2">
        <w:rPr>
          <w:rFonts w:ascii="Times New Roman" w:hAnsi="Times New Roman" w:cs="Times New Roman"/>
          <w:i/>
          <w:sz w:val="28"/>
        </w:rPr>
        <w:t>môi giới bảo hiểm</w:t>
      </w:r>
    </w:p>
    <w:p w:rsidR="00E3325D" w:rsidRPr="008354C2" w:rsidRDefault="003C25BD" w:rsidP="00E3325D">
      <w:pPr>
        <w:spacing w:after="120"/>
        <w:jc w:val="both"/>
        <w:rPr>
          <w:rFonts w:ascii="Times New Roman" w:hAnsi="Times New Roman" w:cs="Times New Roman"/>
          <w:sz w:val="28"/>
        </w:rPr>
      </w:pPr>
      <w:r w:rsidRPr="008354C2">
        <w:rPr>
          <w:rFonts w:ascii="Times New Roman" w:hAnsi="Times New Roman" w:cs="Times New Roman"/>
          <w:sz w:val="28"/>
        </w:rPr>
        <w:t>Khung TCNL cho Ngành Bảo hiểm Bảo hiểm Nhân thọ của Hong Kong cũng chủ yếu bao gồm các tiêu chuẩn năng lực cần thiết cho các hoạt động hiện tại và những phát triển trong tương lai của ngànhm bao gồm 197 Đơn vị Năng lực (UoC) được phân bổ thành 7 nhóm ngành chính ở nhiều cấp độ khác nhau:</w:t>
      </w:r>
    </w:p>
    <w:p w:rsidR="003C25BD" w:rsidRPr="008354C2" w:rsidRDefault="003C25BD" w:rsidP="003C25BD">
      <w:pPr>
        <w:spacing w:after="120"/>
        <w:jc w:val="center"/>
        <w:rPr>
          <w:rFonts w:ascii="Times New Roman" w:hAnsi="Times New Roman" w:cs="Times New Roman"/>
          <w:i/>
          <w:sz w:val="28"/>
        </w:rPr>
      </w:pPr>
      <w:r w:rsidRPr="008354C2">
        <w:rPr>
          <w:rFonts w:ascii="Arial" w:eastAsia="Arial" w:hAnsi="Arial" w:cs="Times New Roman"/>
          <w:noProof/>
          <w:lang w:val="vi-VN" w:eastAsia="vi-VN"/>
        </w:rPr>
        <w:drawing>
          <wp:inline distT="0" distB="0" distL="0" distR="0">
            <wp:extent cx="5759450" cy="3397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759450" cy="3397510"/>
                    </a:xfrm>
                    <a:prstGeom prst="rect">
                      <a:avLst/>
                    </a:prstGeom>
                  </pic:spPr>
                </pic:pic>
              </a:graphicData>
            </a:graphic>
          </wp:inline>
        </w:drawing>
      </w:r>
      <w:r w:rsidR="004D0D9A" w:rsidRPr="008354C2">
        <w:rPr>
          <w:rFonts w:ascii="Times New Roman" w:hAnsi="Times New Roman" w:cs="Times New Roman"/>
          <w:i/>
          <w:sz w:val="28"/>
        </w:rPr>
        <w:t>Hình 3</w:t>
      </w:r>
      <w:r w:rsidRPr="008354C2">
        <w:rPr>
          <w:rFonts w:ascii="Times New Roman" w:hAnsi="Times New Roman" w:cs="Times New Roman"/>
          <w:i/>
          <w:sz w:val="28"/>
        </w:rPr>
        <w:t>: 7 cấp độ tương ứng với 7 nhóm ngành nghề của khung tiêu chuẩn năng lực cho ngành bảo hiểm nhân thọ</w:t>
      </w:r>
    </w:p>
    <w:p w:rsidR="004D0D9A" w:rsidRPr="008354C2" w:rsidRDefault="004D0D9A" w:rsidP="003C25BD">
      <w:pPr>
        <w:spacing w:after="120"/>
        <w:jc w:val="center"/>
        <w:rPr>
          <w:rFonts w:ascii="Times New Roman" w:hAnsi="Times New Roman" w:cs="Times New Roman"/>
          <w:i/>
          <w:sz w:val="28"/>
        </w:rPr>
      </w:pPr>
    </w:p>
    <w:p w:rsidR="004D0D9A" w:rsidRPr="008354C2" w:rsidRDefault="00177506" w:rsidP="00177506">
      <w:pPr>
        <w:spacing w:after="120"/>
        <w:jc w:val="both"/>
        <w:rPr>
          <w:rFonts w:ascii="Times New Roman" w:hAnsi="Times New Roman" w:cs="Times New Roman"/>
          <w:b/>
          <w:sz w:val="28"/>
        </w:rPr>
      </w:pPr>
      <w:r w:rsidRPr="008354C2">
        <w:rPr>
          <w:rFonts w:ascii="Times New Roman" w:hAnsi="Times New Roman" w:cs="Times New Roman"/>
          <w:b/>
          <w:sz w:val="28"/>
        </w:rPr>
        <w:t xml:space="preserve">1.3. </w:t>
      </w:r>
      <w:r w:rsidR="00614B8B" w:rsidRPr="008354C2">
        <w:rPr>
          <w:rFonts w:ascii="Times New Roman" w:hAnsi="Times New Roman" w:cs="Times New Roman"/>
          <w:b/>
          <w:sz w:val="28"/>
        </w:rPr>
        <w:t>Quy định về</w:t>
      </w:r>
      <w:r w:rsidRPr="008354C2">
        <w:rPr>
          <w:rFonts w:ascii="Times New Roman" w:hAnsi="Times New Roman" w:cs="Times New Roman"/>
          <w:b/>
          <w:sz w:val="28"/>
        </w:rPr>
        <w:t xml:space="preserve"> đào tạo, tổ chức thi chứng chỉ hành nghề bảo hiểm</w:t>
      </w:r>
    </w:p>
    <w:p w:rsidR="00177506" w:rsidRPr="008354C2" w:rsidRDefault="00177506" w:rsidP="00177506">
      <w:pPr>
        <w:spacing w:after="120"/>
        <w:jc w:val="both"/>
        <w:rPr>
          <w:rFonts w:ascii="Times New Roman" w:hAnsi="Times New Roman" w:cs="Times New Roman"/>
          <w:sz w:val="28"/>
        </w:rPr>
      </w:pPr>
      <w:r w:rsidRPr="008354C2">
        <w:rPr>
          <w:rFonts w:ascii="Times New Roman" w:hAnsi="Times New Roman" w:cs="Times New Roman"/>
          <w:sz w:val="28"/>
        </w:rPr>
        <w:t>Kinh nghiệm các nước cho thấy, bảo hiểm là một ngành dịch vụ đặc thù, có chuyên môn chuyên sâu và có hoạt động khác biệt hoàn toàn với các ngành kinh tế, dịch vụ khác, đòi hỏi phải được quản lý, tổ chức đào tạo, nghiên cứu riêng. Bên cạnh công tác tự đào tạo của các công ty bảo hiểm, bất kỳ quốc gia nào cũng phải có tổ chức chuyên nghiên cứu và đào tạo riêng về bảo hiểm. Ở các quốc gia mới phát triển thị trường bảo hiểm, tổ chức này phải do Nhà nước thành lập, trực thuộc các cơ quan quản lý lĩnh vực bảo hiểm (như Bộ Tài chính hay Bộ quản lý dịch vụ ngân hàng – bảo hiểm). Hiện nay, ngay trong khu vực ASEAN, các nước Malaysia, Philippines, Indonesia, Thái Lan đều có các Trung tâm nghiên cứu đào tạo và viện nghiên cứu đào tạo bảo hiểm thuộc Bộ Tài chính, Bộ quản lý dịch vụ ngân hàng – bảo hiểm (Malaysian Insurance Institut - Malaysia,  IATA Training Center – Indonesia, Insurance Institut of ASia Pacific – IILP của Philippines…).  Ở các quốc gia có thị trường bảo hiểm phát triển, các tổ chức nghiên cứu, đào tạo bảo hiểm mỗi quốc gia còn phát triển vượt bậc, từ trung tâm nghiên cứu đào tạo bảo hiểm thành các viện, học viện bảo hiểm quốc gia, hoạt động còn có thể vươn ra khỏi biên giới quốc gia. Điển hình là Viện đào tạo bảo hiểm ANZIIF của Úc, Trường đào tạo Bảo hiểm ASSUR của Pháp, Trung tâm Đào tạo bảo hiểm Toronto của Canada… Với các quốc gia theo mô hình liên bang, mỗi bang có ngành bảo hiểm phát triển đều có trung tâm đào tạo riêng của mình (như bang Quebec, Ontario của Canada…). Ngoài viện, học viên bảo hiểm quốc gia, các nước này còn có nhiều trung tâm đào tạo bảo hiểm phi chính phủ khác cùng song song tồn tạ</w:t>
      </w:r>
      <w:r w:rsidR="005124C7" w:rsidRPr="008354C2">
        <w:rPr>
          <w:rFonts w:ascii="Times New Roman" w:hAnsi="Times New Roman" w:cs="Times New Roman"/>
          <w:sz w:val="28"/>
        </w:rPr>
        <w:t>i.</w:t>
      </w:r>
    </w:p>
    <w:p w:rsidR="00177506" w:rsidRPr="008354C2" w:rsidRDefault="00177506" w:rsidP="00177506">
      <w:pPr>
        <w:spacing w:after="120"/>
        <w:jc w:val="both"/>
        <w:rPr>
          <w:rFonts w:ascii="Times New Roman" w:hAnsi="Times New Roman" w:cs="Times New Roman"/>
          <w:sz w:val="28"/>
        </w:rPr>
      </w:pPr>
      <w:r w:rsidRPr="008354C2">
        <w:rPr>
          <w:rFonts w:ascii="Times New Roman" w:hAnsi="Times New Roman" w:cs="Times New Roman"/>
          <w:sz w:val="28"/>
        </w:rPr>
        <w:t>Chức năng nhiệm vụ của các Trung tâm, viện, học viện nghiên cứu đào tạo bảo hiểm quốc gia đều tập trung vào 3 nhiệm vụ chính: 1 là quản lý công tác thi, cấp chứng chỉ đối với các chứng chỉ hành nghề bắt buộc của cơ quan quản lý đối với lĩnh vực bảo hiểm như chứng chỉ hành nghề đại lý bảo hiểm, chứng chỉ hành nghề môi giới bảo hiểm, chứng chỉ hành nghề giám định, đánh giá rủi ro, các chứng chỉ nghiệp vụ bảo hiểm bắt buộc,…; 2 là tổ chức đào tạo phục vụ các kỳ thi cấp chứng chỉ hành nghề và chứng chỉ nghề nghiệp bắt buộ</w:t>
      </w:r>
      <w:r w:rsidR="00CC6153" w:rsidRPr="008354C2">
        <w:rPr>
          <w:rFonts w:ascii="Times New Roman" w:hAnsi="Times New Roman" w:cs="Times New Roman"/>
          <w:sz w:val="28"/>
        </w:rPr>
        <w:t>c</w:t>
      </w:r>
      <w:r w:rsidRPr="008354C2">
        <w:rPr>
          <w:rFonts w:ascii="Times New Roman" w:hAnsi="Times New Roman" w:cs="Times New Roman"/>
          <w:sz w:val="28"/>
        </w:rPr>
        <w:t>; đào tạo liên tục phát triển nghề nghiệp bảo hiểm đối với các cán bộ doanh nghiệp bảo hiểm và một số chương trình phát triển cho học viên có nhu cầu trở thành cán bộ doanh nghiệp bảo hiểm; 3 là triển khai công tác nghiên cứu phục vụ công tác quản lý của cơ quan quản lý và phục vụ thị trường bảo hiểm nhằm phát triển bền v</w:t>
      </w:r>
      <w:r w:rsidR="005124C7" w:rsidRPr="008354C2">
        <w:rPr>
          <w:rFonts w:ascii="Times New Roman" w:hAnsi="Times New Roman" w:cs="Times New Roman"/>
          <w:sz w:val="28"/>
        </w:rPr>
        <w:t>ữ</w:t>
      </w:r>
      <w:r w:rsidRPr="008354C2">
        <w:rPr>
          <w:rFonts w:ascii="Times New Roman" w:hAnsi="Times New Roman" w:cs="Times New Roman"/>
          <w:sz w:val="28"/>
        </w:rPr>
        <w:t>ng. MII, IIAP, ANZIIF đều cho biết, sở dĩ họ phải thành lập tổ chức nghiên cứu đào tạo bảo hiểm quốc gia và cơ quan quản lý phải giao cho tổ chức này công tác tổ chức đào tạo và tổ chức các kỳ thi cấp chứng chỉ hành nghề và chứng chỉ nghề nghiệp bắt buộc là để đảm bảo chất lượng theo quy định của pháp luật đối với những nghề nghiệp cần phải được quản lý chuẩn chất lượng trong lĩnh vực bảo hiểm như đại lý, môi giới, giám định, cán bộ nghiệp vụ khai thác, bồi thường,… Trước kia họ cũng đã từng giao cho các công ty bảo hiểm tự triển khai nhưng chất lượng không đảm bảo vì công ty bảo hiểm thường ưu tiên hơn cho nhiệm vụ kinh doanh, đào tạo nhanh để tăng lực lượng khai thác, bán bảo hiể</w:t>
      </w:r>
      <w:r w:rsidR="00CC6153" w:rsidRPr="008354C2">
        <w:rPr>
          <w:rFonts w:ascii="Times New Roman" w:hAnsi="Times New Roman" w:cs="Times New Roman"/>
          <w:sz w:val="28"/>
        </w:rPr>
        <w:t>m.</w:t>
      </w:r>
    </w:p>
    <w:p w:rsidR="00CC6153" w:rsidRPr="008354C2" w:rsidRDefault="00CC6153" w:rsidP="00177506">
      <w:pPr>
        <w:spacing w:after="120"/>
        <w:jc w:val="both"/>
        <w:rPr>
          <w:rFonts w:ascii="Times New Roman" w:hAnsi="Times New Roman" w:cs="Times New Roman"/>
          <w:b/>
          <w:sz w:val="28"/>
        </w:rPr>
      </w:pPr>
      <w:r w:rsidRPr="008354C2">
        <w:rPr>
          <w:rFonts w:ascii="Times New Roman" w:hAnsi="Times New Roman" w:cs="Times New Roman"/>
          <w:b/>
          <w:sz w:val="28"/>
        </w:rPr>
        <w:t xml:space="preserve">1.3.1. Quy định của pháp luật </w:t>
      </w:r>
      <w:r w:rsidR="009B37BB" w:rsidRPr="008354C2">
        <w:rPr>
          <w:rFonts w:ascii="Times New Roman" w:hAnsi="Times New Roman" w:cs="Times New Roman"/>
          <w:b/>
          <w:sz w:val="28"/>
        </w:rPr>
        <w:t>về chứng chỉ hành nghề</w:t>
      </w:r>
    </w:p>
    <w:p w:rsidR="003C25BD" w:rsidRPr="008354C2" w:rsidRDefault="00177506" w:rsidP="00177506">
      <w:pPr>
        <w:spacing w:after="120"/>
        <w:jc w:val="both"/>
        <w:rPr>
          <w:rFonts w:ascii="Times New Roman" w:hAnsi="Times New Roman" w:cs="Times New Roman"/>
          <w:sz w:val="28"/>
        </w:rPr>
      </w:pPr>
      <w:r w:rsidRPr="008354C2">
        <w:rPr>
          <w:rFonts w:ascii="Times New Roman" w:hAnsi="Times New Roman" w:cs="Times New Roman"/>
          <w:b/>
          <w:i/>
          <w:sz w:val="28"/>
        </w:rPr>
        <w:t>Về phương diện pháp luật</w:t>
      </w:r>
      <w:r w:rsidRPr="008354C2">
        <w:rPr>
          <w:rFonts w:ascii="Times New Roman" w:hAnsi="Times New Roman" w:cs="Times New Roman"/>
          <w:sz w:val="28"/>
        </w:rPr>
        <w:t>, các quốc gia đề</w:t>
      </w:r>
      <w:r w:rsidR="00CC6153" w:rsidRPr="008354C2">
        <w:rPr>
          <w:rFonts w:ascii="Times New Roman" w:hAnsi="Times New Roman" w:cs="Times New Roman"/>
          <w:sz w:val="28"/>
        </w:rPr>
        <w:t xml:space="preserve">u đưa ra </w:t>
      </w:r>
      <w:r w:rsidRPr="008354C2">
        <w:rPr>
          <w:rFonts w:ascii="Times New Roman" w:hAnsi="Times New Roman" w:cs="Times New Roman"/>
          <w:sz w:val="28"/>
        </w:rPr>
        <w:t xml:space="preserve">yêu cầu về năng lực chuyên môn đối với các chức danh trung gian bảo hiểm, quản lý, kiểm soát trong kinh doanh bảo hiểm. Theo đó, một số chức danh đòi hỏi phải đáp ứng được điều kiện về chứng chỉ hành nghề mới được cấp phép hoạt động. </w:t>
      </w:r>
      <w:r w:rsidR="00CC6153" w:rsidRPr="008354C2">
        <w:rPr>
          <w:rFonts w:ascii="Times New Roman" w:hAnsi="Times New Roman" w:cs="Times New Roman"/>
          <w:sz w:val="28"/>
        </w:rPr>
        <w:t>Cụ thể như sau</w:t>
      </w:r>
      <w:r w:rsidRPr="008354C2">
        <w:rPr>
          <w:rFonts w:ascii="Times New Roman" w:hAnsi="Times New Roman" w:cs="Times New Roman"/>
          <w:sz w:val="28"/>
        </w:rPr>
        <w:t>:</w:t>
      </w:r>
    </w:p>
    <w:p w:rsidR="003C25BD" w:rsidRPr="008354C2" w:rsidRDefault="00CC6153" w:rsidP="00E3325D">
      <w:pPr>
        <w:spacing w:after="120"/>
        <w:jc w:val="both"/>
        <w:rPr>
          <w:rFonts w:ascii="Times New Roman" w:hAnsi="Times New Roman" w:cs="Times New Roman"/>
          <w:b/>
          <w:sz w:val="28"/>
        </w:rPr>
      </w:pPr>
      <w:r w:rsidRPr="008354C2">
        <w:rPr>
          <w:rFonts w:ascii="Times New Roman" w:hAnsi="Times New Roman" w:cs="Times New Roman"/>
          <w:b/>
          <w:sz w:val="28"/>
        </w:rPr>
        <w:t>1.3.1.</w:t>
      </w:r>
      <w:r w:rsidR="009B37BB" w:rsidRPr="008354C2">
        <w:rPr>
          <w:rFonts w:ascii="Times New Roman" w:hAnsi="Times New Roman" w:cs="Times New Roman"/>
          <w:b/>
          <w:sz w:val="28"/>
        </w:rPr>
        <w:t>1.</w:t>
      </w:r>
      <w:r w:rsidRPr="008354C2">
        <w:rPr>
          <w:rFonts w:ascii="Times New Roman" w:hAnsi="Times New Roman" w:cs="Times New Roman"/>
          <w:b/>
          <w:sz w:val="28"/>
        </w:rPr>
        <w:t xml:space="preserve"> Trung Quốc</w:t>
      </w:r>
    </w:p>
    <w:p w:rsidR="00CC6153" w:rsidRPr="008354C2" w:rsidRDefault="00CC6153" w:rsidP="00E3325D">
      <w:pPr>
        <w:spacing w:after="120"/>
        <w:jc w:val="both"/>
        <w:rPr>
          <w:rFonts w:ascii="Times New Roman" w:hAnsi="Times New Roman" w:cs="Times New Roman"/>
          <w:sz w:val="28"/>
        </w:rPr>
      </w:pPr>
      <w:r w:rsidRPr="008354C2">
        <w:rPr>
          <w:rFonts w:ascii="Times New Roman" w:hAnsi="Times New Roman" w:cs="Times New Roman"/>
          <w:sz w:val="28"/>
        </w:rPr>
        <w:t xml:space="preserve">Luật KDBH của Trung Quốc quy định trong hoạt động kinh doanh bảo hiểm, các công ty bảo hiểm và nhân viên của mình sẽ bị cấm tham gia bất kỳ tổ chức nào chưa có chứng chỉ pháp lý để thực hiện hoạt động bán bảo hiểm (Điều 116). Điều 122 Luật này quy định đại lý bảo hiểm cá nhân, người hành nghề của công ty bảo hiểm và người hành nghề môi giới bảo hiểm phải có hành vi đạo đức tốt và có năng lực chuyên môn cần thiết để thực hiện hoạt động kinh doanh đại lý hoặc môi giới bảo hiểm.  </w:t>
      </w:r>
    </w:p>
    <w:p w:rsidR="009B37BB" w:rsidRPr="008354C2" w:rsidRDefault="009B37BB" w:rsidP="009B37BB">
      <w:pPr>
        <w:spacing w:after="120"/>
        <w:jc w:val="both"/>
        <w:rPr>
          <w:rFonts w:ascii="Times New Roman" w:hAnsi="Times New Roman" w:cs="Times New Roman"/>
          <w:b/>
          <w:sz w:val="28"/>
        </w:rPr>
      </w:pPr>
      <w:r w:rsidRPr="008354C2">
        <w:rPr>
          <w:rFonts w:ascii="Times New Roman" w:hAnsi="Times New Roman" w:cs="Times New Roman"/>
          <w:b/>
          <w:sz w:val="28"/>
        </w:rPr>
        <w:t>1.3.1.2.</w:t>
      </w:r>
      <w:r w:rsidR="00CC6153" w:rsidRPr="008354C2">
        <w:rPr>
          <w:rFonts w:ascii="Times New Roman" w:hAnsi="Times New Roman" w:cs="Times New Roman"/>
          <w:b/>
          <w:sz w:val="28"/>
        </w:rPr>
        <w:t xml:space="preserve"> </w:t>
      </w:r>
      <w:r w:rsidRPr="008354C2">
        <w:rPr>
          <w:rFonts w:ascii="Times New Roman" w:hAnsi="Times New Roman" w:cs="Times New Roman"/>
          <w:b/>
          <w:sz w:val="28"/>
        </w:rPr>
        <w:t>Thái Lan</w:t>
      </w:r>
    </w:p>
    <w:p w:rsidR="009B37BB" w:rsidRPr="008354C2" w:rsidRDefault="009B37BB" w:rsidP="009B37BB">
      <w:pPr>
        <w:spacing w:after="120"/>
        <w:jc w:val="both"/>
        <w:rPr>
          <w:rFonts w:ascii="Times New Roman" w:hAnsi="Times New Roman" w:cs="Times New Roman"/>
          <w:sz w:val="28"/>
        </w:rPr>
      </w:pPr>
      <w:r w:rsidRPr="008354C2">
        <w:rPr>
          <w:rFonts w:ascii="Times New Roman" w:hAnsi="Times New Roman" w:cs="Times New Roman"/>
          <w:sz w:val="28"/>
        </w:rPr>
        <w:t>Luật kinh doanh bảo hiểm nhân thọ của Thái Lan quy định việc cấp phép cho đại lý bảo hiểm, trong đó có quy định đại lý bảo hiểm phải được huấn luyện tại cơ sở đào tạo của Uỷ ban giám sát bảo hiểm và vượt qua kỳ thi tuyển do Uỷ ban này tiến hành. Giấy phép đại lý bảo hiểm chỉ có hạn trong vòng 1 năm kể từ ngày cấp. Nếu muốn tái tục, đại lý bảo hiểm phải thông báo với Uỷ ban giám sát bảo hiểm trong vòng 2 tháng trước ngày hết hạn. Nếu giấy phép được tái tục trong 2 năm liên tục, thì giấy phép mới này sẽ có hạn trong vòng 5 năm. Luật KDBH nhân thọ cũng có các quy định về lệ phí thi, lệ phí cấp phép đại lý, lệ phí tái tục giấy phép (Điều 68, 69,70, 77).</w:t>
      </w:r>
    </w:p>
    <w:p w:rsidR="009B37BB" w:rsidRPr="008354C2" w:rsidRDefault="009B37BB" w:rsidP="009B37BB">
      <w:pPr>
        <w:spacing w:after="120"/>
        <w:jc w:val="both"/>
        <w:rPr>
          <w:rFonts w:ascii="Times New Roman" w:hAnsi="Times New Roman" w:cs="Times New Roman"/>
          <w:b/>
          <w:sz w:val="28"/>
        </w:rPr>
      </w:pPr>
      <w:r w:rsidRPr="008354C2">
        <w:rPr>
          <w:rFonts w:ascii="Times New Roman" w:hAnsi="Times New Roman" w:cs="Times New Roman"/>
          <w:b/>
          <w:sz w:val="28"/>
        </w:rPr>
        <w:t>1.3.1.3. Mỹ và Canada</w:t>
      </w:r>
    </w:p>
    <w:p w:rsidR="009B37BB" w:rsidRPr="008354C2" w:rsidRDefault="009B37BB" w:rsidP="009B37BB">
      <w:pPr>
        <w:spacing w:after="120"/>
        <w:jc w:val="both"/>
        <w:rPr>
          <w:rFonts w:ascii="Times New Roman" w:hAnsi="Times New Roman" w:cs="Times New Roman"/>
          <w:sz w:val="28"/>
        </w:rPr>
      </w:pPr>
      <w:r w:rsidRPr="008354C2">
        <w:rPr>
          <w:rFonts w:ascii="Times New Roman" w:hAnsi="Times New Roman" w:cs="Times New Roman"/>
          <w:sz w:val="28"/>
        </w:rPr>
        <w:t>Tại Mỹ và Canada, pháp luật quy định đại lý bảo hiểm phải có chứng chỉ hành nghề đại lý mới được cấp phép hoạt động và giấy phép hoạt động đại lý chỉ có thời hạn 02 năm, sau đó đại lý cần phải đáp ứng đủ điều kiện để được gia hạn giấy phép.</w:t>
      </w:r>
    </w:p>
    <w:p w:rsidR="00606D3B" w:rsidRPr="008354C2" w:rsidRDefault="00606D3B" w:rsidP="009B37BB">
      <w:pPr>
        <w:spacing w:after="120"/>
        <w:jc w:val="both"/>
        <w:rPr>
          <w:rFonts w:ascii="Times New Roman" w:hAnsi="Times New Roman" w:cs="Times New Roman"/>
          <w:sz w:val="28"/>
        </w:rPr>
      </w:pPr>
      <w:r w:rsidRPr="008354C2">
        <w:rPr>
          <w:rFonts w:ascii="Times New Roman" w:hAnsi="Times New Roman" w:cs="Times New Roman"/>
          <w:sz w:val="28"/>
        </w:rPr>
        <w:t>Luật bảo hiểm tại Mỹ quy định, đại lý, môi giới bảo hiểm có chứng chỉ chỉ được phép bán theo dòng nghiệp vụ được cấp phép.</w:t>
      </w:r>
      <w:r w:rsidRPr="008354C2">
        <w:rPr>
          <w:rFonts w:ascii="Times New Roman" w:hAnsi="Times New Roman" w:cs="Times New Roman"/>
          <w:sz w:val="28"/>
        </w:rPr>
        <w:tab/>
      </w:r>
    </w:p>
    <w:p w:rsidR="009B37BB" w:rsidRPr="008354C2" w:rsidRDefault="009B37BB" w:rsidP="009B37BB">
      <w:pPr>
        <w:spacing w:after="120"/>
        <w:jc w:val="both"/>
        <w:rPr>
          <w:rFonts w:ascii="Times New Roman" w:hAnsi="Times New Roman" w:cs="Times New Roman"/>
          <w:b/>
          <w:sz w:val="28"/>
        </w:rPr>
      </w:pPr>
      <w:r w:rsidRPr="008354C2">
        <w:rPr>
          <w:rFonts w:ascii="Times New Roman" w:hAnsi="Times New Roman" w:cs="Times New Roman"/>
          <w:b/>
          <w:sz w:val="28"/>
        </w:rPr>
        <w:t>1.3.1.4. Malaysia</w:t>
      </w:r>
    </w:p>
    <w:p w:rsidR="009B37BB" w:rsidRPr="008354C2" w:rsidRDefault="009B37BB" w:rsidP="009B37BB">
      <w:pPr>
        <w:spacing w:after="120"/>
        <w:jc w:val="both"/>
        <w:rPr>
          <w:rFonts w:ascii="Times New Roman" w:hAnsi="Times New Roman" w:cs="Times New Roman"/>
          <w:sz w:val="28"/>
        </w:rPr>
      </w:pPr>
      <w:r w:rsidRPr="008354C2">
        <w:rPr>
          <w:rFonts w:ascii="Times New Roman" w:hAnsi="Times New Roman" w:cs="Times New Roman"/>
          <w:sz w:val="28"/>
        </w:rPr>
        <w:t>Tại Malaysia, Cơ quan quản lý bảo hiểm Malaysia quy định bắt buộc phải có chứng chỉ hành nghề đối với đại lý bảo hiểm, môi giới bảo hiểm, chuyên gia giám định tổn thất bảo hiểm. Từ 2018, đại lý bảo hiểm ngoài chứng chỉ cơ bản theo Luật định, cơ quan quản lý còn yêu cầu đại lý để có thể hành nghề cần có chứng chỉ nâng cao, trong đó đào tạo sâu hơn về sản phảm bảo hiểm, các kỹ năng mềm.</w:t>
      </w:r>
    </w:p>
    <w:p w:rsidR="00606D3B" w:rsidRPr="008354C2" w:rsidRDefault="00606D3B" w:rsidP="009B37BB">
      <w:pPr>
        <w:spacing w:after="120"/>
        <w:jc w:val="both"/>
        <w:rPr>
          <w:rFonts w:ascii="Times New Roman" w:hAnsi="Times New Roman" w:cs="Times New Roman"/>
          <w:b/>
          <w:sz w:val="28"/>
        </w:rPr>
      </w:pPr>
      <w:r w:rsidRPr="008354C2">
        <w:rPr>
          <w:rFonts w:ascii="Times New Roman" w:hAnsi="Times New Roman" w:cs="Times New Roman"/>
          <w:b/>
          <w:sz w:val="28"/>
        </w:rPr>
        <w:t>1.3.1.5. Nhật Bản</w:t>
      </w:r>
    </w:p>
    <w:p w:rsidR="009B37BB" w:rsidRPr="008354C2" w:rsidRDefault="009B37BB" w:rsidP="009B37BB">
      <w:pPr>
        <w:spacing w:after="120"/>
        <w:jc w:val="both"/>
        <w:rPr>
          <w:rFonts w:ascii="Times New Roman" w:hAnsi="Times New Roman" w:cs="Times New Roman"/>
          <w:sz w:val="28"/>
        </w:rPr>
      </w:pPr>
      <w:r w:rsidRPr="008354C2">
        <w:rPr>
          <w:rFonts w:ascii="Times New Roman" w:hAnsi="Times New Roman" w:cs="Times New Roman"/>
          <w:sz w:val="28"/>
        </w:rPr>
        <w:t xml:space="preserve">Tại Nhật Bản, Hiệp hội </w:t>
      </w:r>
      <w:r w:rsidR="00606D3B" w:rsidRPr="008354C2">
        <w:rPr>
          <w:rFonts w:ascii="Times New Roman" w:hAnsi="Times New Roman" w:cs="Times New Roman"/>
          <w:sz w:val="28"/>
        </w:rPr>
        <w:t>bảo hiểm</w:t>
      </w:r>
      <w:r w:rsidRPr="008354C2">
        <w:rPr>
          <w:rFonts w:ascii="Times New Roman" w:hAnsi="Times New Roman" w:cs="Times New Roman"/>
          <w:sz w:val="28"/>
        </w:rPr>
        <w:t xml:space="preserve"> phi nhân thọ yêu cầu đại lý bảo hiểm, tư vấn bảo hiểm phi nhân thọ sau mỗi 5 năm phải cập nhật quy định mới, sản phẩm mới.</w:t>
      </w:r>
    </w:p>
    <w:p w:rsidR="00606D3B" w:rsidRPr="008354C2" w:rsidRDefault="00606D3B" w:rsidP="009B37BB">
      <w:pPr>
        <w:spacing w:after="120"/>
        <w:jc w:val="both"/>
        <w:rPr>
          <w:rFonts w:ascii="Times New Roman" w:hAnsi="Times New Roman" w:cs="Times New Roman"/>
          <w:b/>
          <w:sz w:val="28"/>
        </w:rPr>
      </w:pPr>
      <w:r w:rsidRPr="008354C2">
        <w:rPr>
          <w:rFonts w:ascii="Times New Roman" w:hAnsi="Times New Roman" w:cs="Times New Roman"/>
          <w:b/>
          <w:sz w:val="28"/>
        </w:rPr>
        <w:t>1.3.1.6. Đài Loan</w:t>
      </w:r>
    </w:p>
    <w:p w:rsidR="009B37BB" w:rsidRPr="008354C2" w:rsidRDefault="009B37BB" w:rsidP="009B37BB">
      <w:pPr>
        <w:spacing w:after="120"/>
        <w:jc w:val="both"/>
        <w:rPr>
          <w:rFonts w:ascii="Times New Roman" w:hAnsi="Times New Roman" w:cs="Times New Roman"/>
          <w:sz w:val="28"/>
        </w:rPr>
      </w:pPr>
      <w:r w:rsidRPr="008354C2">
        <w:rPr>
          <w:rFonts w:ascii="Times New Roman" w:hAnsi="Times New Roman" w:cs="Times New Roman"/>
          <w:sz w:val="28"/>
        </w:rPr>
        <w:t>Tại Đài Loan, pháp luật quy định đại lý bảo hiểm cần phải có chứng chỉ hành nghề đại lý mới được cấ</w:t>
      </w:r>
      <w:r w:rsidR="00606D3B" w:rsidRPr="008354C2">
        <w:rPr>
          <w:rFonts w:ascii="Times New Roman" w:hAnsi="Times New Roman" w:cs="Times New Roman"/>
          <w:sz w:val="28"/>
        </w:rPr>
        <w:t xml:space="preserve">p phép </w:t>
      </w:r>
      <w:r w:rsidRPr="008354C2">
        <w:rPr>
          <w:rFonts w:ascii="Times New Roman" w:hAnsi="Times New Roman" w:cs="Times New Roman"/>
          <w:sz w:val="28"/>
        </w:rPr>
        <w:t>hoạt động và giấy phép hoạt động đại lý chỉ có thời hạn 05 năm (sau 05 năm cần được gia hạn).</w:t>
      </w:r>
    </w:p>
    <w:p w:rsidR="00606D3B" w:rsidRPr="008354C2" w:rsidRDefault="00606D3B" w:rsidP="009B37BB">
      <w:pPr>
        <w:spacing w:after="120"/>
        <w:jc w:val="both"/>
        <w:rPr>
          <w:rFonts w:ascii="Times New Roman" w:hAnsi="Times New Roman" w:cs="Times New Roman"/>
          <w:sz w:val="28"/>
        </w:rPr>
      </w:pPr>
      <w:r w:rsidRPr="008354C2">
        <w:rPr>
          <w:rFonts w:ascii="Times New Roman" w:hAnsi="Times New Roman" w:cs="Times New Roman"/>
          <w:sz w:val="28"/>
        </w:rPr>
        <w:t>Đại lý bảo hiểm tại Đài Loan cần có chứng chỉ đại lý cơ bản và phải được đào tạo tại chỗ và đào tạo trước khi làm việc.</w:t>
      </w:r>
    </w:p>
    <w:p w:rsidR="00606D3B" w:rsidRPr="008354C2" w:rsidRDefault="00606D3B" w:rsidP="009B37BB">
      <w:pPr>
        <w:spacing w:after="120"/>
        <w:jc w:val="both"/>
        <w:rPr>
          <w:rFonts w:ascii="Times New Roman" w:hAnsi="Times New Roman" w:cs="Times New Roman"/>
          <w:b/>
          <w:sz w:val="28"/>
        </w:rPr>
      </w:pPr>
      <w:r w:rsidRPr="008354C2">
        <w:rPr>
          <w:rFonts w:ascii="Times New Roman" w:hAnsi="Times New Roman" w:cs="Times New Roman"/>
          <w:b/>
          <w:sz w:val="28"/>
        </w:rPr>
        <w:t>1.3.1.7. Philippines</w:t>
      </w:r>
    </w:p>
    <w:p w:rsidR="00CC6153" w:rsidRPr="008354C2" w:rsidRDefault="009B37BB" w:rsidP="009B37BB">
      <w:pPr>
        <w:spacing w:after="120"/>
        <w:jc w:val="both"/>
        <w:rPr>
          <w:rFonts w:ascii="Times New Roman" w:hAnsi="Times New Roman" w:cs="Times New Roman"/>
          <w:sz w:val="28"/>
        </w:rPr>
      </w:pPr>
      <w:r w:rsidRPr="008354C2">
        <w:rPr>
          <w:rFonts w:ascii="Times New Roman" w:hAnsi="Times New Roman" w:cs="Times New Roman"/>
          <w:sz w:val="28"/>
        </w:rPr>
        <w:t>Tương tự, pháp luật quy định đại lý bảo hiểm ở Philippines cũng cần phải có chứng chỉ hành nghề đại lý mới được được cấp phép hoạt đ</w:t>
      </w:r>
      <w:r w:rsidR="00547C3A" w:rsidRPr="008354C2">
        <w:rPr>
          <w:rFonts w:ascii="Times New Roman" w:hAnsi="Times New Roman" w:cs="Times New Roman"/>
          <w:sz w:val="28"/>
        </w:rPr>
        <w:t>ộ</w:t>
      </w:r>
      <w:r w:rsidRPr="008354C2">
        <w:rPr>
          <w:rFonts w:ascii="Times New Roman" w:hAnsi="Times New Roman" w:cs="Times New Roman"/>
          <w:sz w:val="28"/>
        </w:rPr>
        <w:t>ng, giấy phép có thời hạn 03 năm, sau đó cần được gia hạn.</w:t>
      </w:r>
    </w:p>
    <w:p w:rsidR="00547C3A" w:rsidRPr="008354C2" w:rsidRDefault="00547C3A" w:rsidP="00547C3A">
      <w:pPr>
        <w:spacing w:after="120"/>
        <w:jc w:val="both"/>
        <w:rPr>
          <w:rFonts w:ascii="Times New Roman" w:hAnsi="Times New Roman" w:cs="Times New Roman"/>
          <w:b/>
          <w:sz w:val="28"/>
        </w:rPr>
      </w:pPr>
      <w:r w:rsidRPr="008354C2">
        <w:rPr>
          <w:rFonts w:ascii="Times New Roman" w:hAnsi="Times New Roman" w:cs="Times New Roman"/>
          <w:b/>
          <w:sz w:val="28"/>
        </w:rPr>
        <w:t>1.3.1.8. Singapore</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szCs w:val="28"/>
        </w:rPr>
        <w:t>Tại Singapore, Luật kinh doanh bảo hiểm quy định: Đại lý bảo hiểm phải có chứng chỉ bảo hiểm cơ bản hoặc tương đương.</w:t>
      </w:r>
    </w:p>
    <w:p w:rsidR="00547C3A" w:rsidRPr="008354C2" w:rsidRDefault="00547C3A" w:rsidP="009B37BB">
      <w:pPr>
        <w:spacing w:after="120"/>
        <w:jc w:val="both"/>
        <w:rPr>
          <w:rFonts w:ascii="Times New Roman" w:hAnsi="Times New Roman" w:cs="Times New Roman"/>
          <w:b/>
          <w:sz w:val="28"/>
        </w:rPr>
      </w:pPr>
      <w:r w:rsidRPr="008354C2">
        <w:rPr>
          <w:rFonts w:ascii="Times New Roman" w:hAnsi="Times New Roman" w:cs="Times New Roman"/>
          <w:b/>
          <w:sz w:val="28"/>
        </w:rPr>
        <w:t xml:space="preserve">1.3.2. </w:t>
      </w:r>
      <w:r w:rsidR="00614B8B" w:rsidRPr="008354C2">
        <w:rPr>
          <w:rFonts w:ascii="Times New Roman" w:hAnsi="Times New Roman" w:cs="Times New Roman"/>
          <w:b/>
          <w:sz w:val="28"/>
        </w:rPr>
        <w:t>Quy định v</w:t>
      </w:r>
      <w:r w:rsidRPr="008354C2">
        <w:rPr>
          <w:rFonts w:ascii="Times New Roman" w:hAnsi="Times New Roman" w:cs="Times New Roman"/>
          <w:b/>
          <w:sz w:val="28"/>
        </w:rPr>
        <w:t>ề công tác tổ chức đào tạo, cấp chứng chỉ hành nghề bảo hiểm</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Tại một số quốc gia, yêu cầu về công tác đào tạo bảo hiểm có thể được quy định tại văn bản pháp luật và bắt buộc phải thực hiện, do cơ quan quản lý dịch vụ tài chính/ bảo hiểm quản lý chất lượng, hoặc do cơ quan quản lý chất lượng giáo dục quản lý giám sát. Việc quản lý chất lượng đào tạo theo phương pháp: quản lý chất lượng chương trình đào tạo, chương trình thi chứng chỉ hành nghề, giám sát chất lượng tổ chức đào tạo và tổ chức thi.</w:t>
      </w:r>
      <w:r w:rsidR="00381DF1" w:rsidRPr="008354C2">
        <w:rPr>
          <w:rFonts w:ascii="Times New Roman" w:hAnsi="Times New Roman" w:cs="Times New Roman"/>
          <w:sz w:val="28"/>
        </w:rPr>
        <w:t xml:space="preserve"> Quy định cụ thể tại một số nước như sau:</w:t>
      </w:r>
    </w:p>
    <w:p w:rsidR="00381DF1" w:rsidRPr="008354C2" w:rsidRDefault="00381DF1" w:rsidP="00547C3A">
      <w:pPr>
        <w:spacing w:after="120"/>
        <w:jc w:val="both"/>
        <w:rPr>
          <w:rFonts w:ascii="Times New Roman" w:hAnsi="Times New Roman" w:cs="Times New Roman"/>
          <w:b/>
          <w:sz w:val="28"/>
        </w:rPr>
      </w:pPr>
      <w:r w:rsidRPr="008354C2">
        <w:rPr>
          <w:rFonts w:ascii="Times New Roman" w:hAnsi="Times New Roman" w:cs="Times New Roman"/>
          <w:b/>
          <w:sz w:val="28"/>
        </w:rPr>
        <w:t>1.3.2.1. Hàn Quốc</w:t>
      </w:r>
    </w:p>
    <w:p w:rsidR="00547C3A" w:rsidRPr="008354C2" w:rsidRDefault="00381DF1" w:rsidP="00547C3A">
      <w:pPr>
        <w:spacing w:after="120"/>
        <w:jc w:val="both"/>
        <w:rPr>
          <w:rFonts w:ascii="Times New Roman" w:hAnsi="Times New Roman" w:cs="Times New Roman"/>
          <w:sz w:val="28"/>
        </w:rPr>
      </w:pPr>
      <w:r w:rsidRPr="008354C2">
        <w:rPr>
          <w:rFonts w:ascii="Times New Roman" w:hAnsi="Times New Roman" w:cs="Times New Roman"/>
          <w:sz w:val="28"/>
        </w:rPr>
        <w:t>T</w:t>
      </w:r>
      <w:r w:rsidR="00547C3A" w:rsidRPr="008354C2">
        <w:rPr>
          <w:rFonts w:ascii="Times New Roman" w:hAnsi="Times New Roman" w:cs="Times New Roman"/>
          <w:sz w:val="28"/>
        </w:rPr>
        <w:t>ại Hàn Quốc, tại Điều 15 Pháp lệnh về các quy tắc thi hành Luật KDBH của Hàn Quốc (do Bộ Tài chính ban hành) có quy định về “Đơn vị đào tạo về bảo hiểm theo Sắc lệnh của Thủ tướng”.  Điều 34 cũng quy định Uỷ Ban giám sát tài chính là cơ quan cấp phép và rút giấy phép hoạt động đại lý trong trường hợp đại lý vi phạm pháp luật hoặc không đáp ứng điều kiện hoạt động đại lý. Trong đó có điều kiện về chứng chỉ hành nghề đại lý bảo hiểm.</w:t>
      </w:r>
    </w:p>
    <w:p w:rsidR="00381DF1" w:rsidRPr="008354C2" w:rsidRDefault="00381DF1" w:rsidP="00547C3A">
      <w:pPr>
        <w:spacing w:after="120"/>
        <w:jc w:val="both"/>
        <w:rPr>
          <w:rFonts w:ascii="Times New Roman" w:hAnsi="Times New Roman" w:cs="Times New Roman"/>
          <w:b/>
          <w:sz w:val="28"/>
        </w:rPr>
      </w:pPr>
      <w:r w:rsidRPr="008354C2">
        <w:rPr>
          <w:rFonts w:ascii="Times New Roman" w:hAnsi="Times New Roman" w:cs="Times New Roman"/>
          <w:b/>
          <w:sz w:val="28"/>
        </w:rPr>
        <w:t>1.3.2.2. Úc</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Tại Úc, các doanh nghiệp bảo hiểm tự nguyện dùng khung tiêu chuẩn năng lực và khung chứng chỉ để phát triển nguồn nhân lực của doanh nghiệp. Nhà nước không có quy định đối với khung tiêu chuẩn năng lực cũng như khung chứng chỉ theo khung tiêu chuẩn năng lực. Tuy nhiên, pháp luật và cơ quan quản lý lại ban hành quy định rất cụ thể về công tác đào tạo đối với một số chức danh trực tiếp tiếp cận khách hàng. Cụ thể, Úc có quy định về chứng chỉ đối với những người hoạt động trong lĩnh vực tư vấn sản phẩm tài chính cho khách hàng bán lẻ. Theo Hướng dẫn quy định số 146 của ASIC (Australian Securities &amp; Investments Commission) về việc cấp phép: đào tạo tư vấn sản phẩm tài chính, tất cả những cá nhân thực hiện việc tư vấn sản phẩm tài chính cho khách hàng bán lẻ đều phải đáp ứng những chuẩn mực đào tạo.</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Theo điều RG 146.6 những chuẩn mực đào tạo bao gồm kiến thức và (trong một số trường hợp) là những yêu cầu về kỹ năng thỏa mãn yêu cầu về chương trình giáo dục cấp độ Tier 1 hoặc Tier 2. Cấp độ Tier 1 tương đương với bằng “Diploma” theo Khung bằng cấp của Úc, cấp độ Tier 2 tương đương với “Chứng chỉ III” (Certificate III) theo Khung bằng cấp của Úc. Theo điều RG 146.7, 146.8, những yêu cầu về kiến thức và kỹ năng, cũng như trình độ giáo dục phụ thuộc vào hoạt động tư vấn của các tư vấn viên, bao gồm tính chất tư vấn là tư vấn chung hay tư vấn cá nhân, và loại sản phẩm mà họ tư vấn. Trên thực tế, các tư vấn viên sẽ đáp ứng những chuẩn mực đào tạo bằng cách hoàn thành các khóa đào tạo có liên quan đến hoạt động tư vấn của mình được liệt kê tại phần Đăng ký đào tạo của ASIC. Hoặc thay vì hoàn thành các khóa đào tạo, những tư vấn viên có nhiều năm kinh nghiệm có thể chứng minh năng lực của mình thông qua những đánh giá cá nhân bởi một thẩm định viên được ủy quyền.</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Đối với tư vấn cá nhân và tư vấn chung, những yêu cầu về chuẩn mực đào tạo được quy định như sau:</w:t>
      </w:r>
    </w:p>
    <w:tbl>
      <w:tblPr>
        <w:tblStyle w:val="TableGrid12"/>
        <w:tblW w:w="0" w:type="auto"/>
        <w:tblLayout w:type="fixed"/>
        <w:tblLook w:val="04A0"/>
      </w:tblPr>
      <w:tblGrid>
        <w:gridCol w:w="2178"/>
        <w:gridCol w:w="3420"/>
        <w:gridCol w:w="3688"/>
      </w:tblGrid>
      <w:tr w:rsidR="00D4333F" w:rsidRPr="008354C2" w:rsidTr="002118B4">
        <w:tc>
          <w:tcPr>
            <w:tcW w:w="2178" w:type="dxa"/>
          </w:tcPr>
          <w:p w:rsidR="00D4333F" w:rsidRPr="008354C2" w:rsidRDefault="00D4333F" w:rsidP="002118B4">
            <w:pPr>
              <w:spacing w:before="60" w:line="276" w:lineRule="auto"/>
              <w:jc w:val="both"/>
              <w:rPr>
                <w:rFonts w:ascii="Times New Roman" w:eastAsia="Arial" w:hAnsi="Times New Roman" w:cs="Times New Roman"/>
                <w:sz w:val="26"/>
                <w:szCs w:val="26"/>
              </w:rPr>
            </w:pPr>
          </w:p>
        </w:tc>
        <w:tc>
          <w:tcPr>
            <w:tcW w:w="3420" w:type="dxa"/>
          </w:tcPr>
          <w:p w:rsidR="002118B4" w:rsidRPr="008354C2" w:rsidRDefault="00D4333F" w:rsidP="002118B4">
            <w:pPr>
              <w:spacing w:before="60" w:line="276" w:lineRule="auto"/>
              <w:jc w:val="center"/>
              <w:rPr>
                <w:rFonts w:ascii="Times New Roman" w:eastAsia="Arial" w:hAnsi="Times New Roman" w:cs="Times New Roman"/>
                <w:b/>
                <w:sz w:val="26"/>
                <w:szCs w:val="26"/>
              </w:rPr>
            </w:pPr>
            <w:r w:rsidRPr="008354C2">
              <w:rPr>
                <w:rFonts w:ascii="Times New Roman" w:eastAsia="Arial" w:hAnsi="Times New Roman" w:cs="Times New Roman"/>
                <w:b/>
                <w:sz w:val="26"/>
                <w:szCs w:val="26"/>
              </w:rPr>
              <w:t xml:space="preserve">Đối với tư vấn chung </w:t>
            </w:r>
          </w:p>
          <w:p w:rsidR="00D4333F" w:rsidRPr="008354C2" w:rsidRDefault="00D4333F" w:rsidP="002118B4">
            <w:pPr>
              <w:spacing w:before="60" w:line="276" w:lineRule="auto"/>
              <w:jc w:val="center"/>
              <w:rPr>
                <w:rFonts w:ascii="Times New Roman" w:eastAsia="Arial" w:hAnsi="Times New Roman" w:cs="Times New Roman"/>
                <w:b/>
                <w:sz w:val="26"/>
                <w:szCs w:val="26"/>
              </w:rPr>
            </w:pPr>
            <w:r w:rsidRPr="008354C2">
              <w:rPr>
                <w:rFonts w:ascii="Times New Roman" w:eastAsia="Arial" w:hAnsi="Times New Roman" w:cs="Times New Roman"/>
                <w:b/>
                <w:sz w:val="26"/>
                <w:szCs w:val="26"/>
              </w:rPr>
              <w:t>(Adviser provides general advice)</w:t>
            </w:r>
          </w:p>
        </w:tc>
        <w:tc>
          <w:tcPr>
            <w:tcW w:w="3688" w:type="dxa"/>
          </w:tcPr>
          <w:p w:rsidR="00D4333F" w:rsidRPr="008354C2" w:rsidRDefault="00D4333F" w:rsidP="002118B4">
            <w:pPr>
              <w:spacing w:before="60" w:line="276" w:lineRule="auto"/>
              <w:jc w:val="center"/>
              <w:rPr>
                <w:rFonts w:ascii="Times New Roman" w:eastAsia="Arial" w:hAnsi="Times New Roman" w:cs="Times New Roman"/>
                <w:b/>
                <w:sz w:val="26"/>
                <w:szCs w:val="26"/>
              </w:rPr>
            </w:pPr>
            <w:r w:rsidRPr="008354C2">
              <w:rPr>
                <w:rFonts w:ascii="Times New Roman" w:eastAsia="Arial" w:hAnsi="Times New Roman" w:cs="Times New Roman"/>
                <w:b/>
                <w:sz w:val="26"/>
                <w:szCs w:val="26"/>
              </w:rPr>
              <w:t>Đối với tư vấn cá nhân</w:t>
            </w:r>
          </w:p>
          <w:p w:rsidR="00D4333F" w:rsidRPr="008354C2" w:rsidRDefault="00D4333F" w:rsidP="002118B4">
            <w:pPr>
              <w:spacing w:before="60" w:line="276" w:lineRule="auto"/>
              <w:jc w:val="center"/>
              <w:rPr>
                <w:rFonts w:ascii="Times New Roman" w:eastAsia="Arial" w:hAnsi="Times New Roman" w:cs="Times New Roman"/>
                <w:b/>
                <w:sz w:val="26"/>
                <w:szCs w:val="26"/>
              </w:rPr>
            </w:pPr>
            <w:r w:rsidRPr="008354C2">
              <w:rPr>
                <w:rFonts w:ascii="Times New Roman" w:eastAsia="Arial" w:hAnsi="Times New Roman" w:cs="Times New Roman"/>
                <w:b/>
                <w:sz w:val="26"/>
                <w:szCs w:val="26"/>
              </w:rPr>
              <w:t>(Adviser provides personal advice)</w:t>
            </w:r>
          </w:p>
        </w:tc>
      </w:tr>
      <w:tr w:rsidR="00D4333F" w:rsidRPr="008354C2" w:rsidTr="002118B4">
        <w:tc>
          <w:tcPr>
            <w:tcW w:w="2178" w:type="dxa"/>
          </w:tcPr>
          <w:p w:rsidR="00D4333F" w:rsidRPr="008354C2" w:rsidRDefault="00D4333F" w:rsidP="002118B4">
            <w:pPr>
              <w:spacing w:before="60" w:line="276" w:lineRule="auto"/>
              <w:jc w:val="both"/>
              <w:rPr>
                <w:rFonts w:ascii="Times New Roman" w:eastAsia="Arial" w:hAnsi="Times New Roman" w:cs="Times New Roman"/>
                <w:b/>
                <w:sz w:val="26"/>
                <w:szCs w:val="26"/>
              </w:rPr>
            </w:pPr>
            <w:r w:rsidRPr="008354C2">
              <w:rPr>
                <w:rFonts w:ascii="Times New Roman" w:eastAsia="Arial" w:hAnsi="Times New Roman" w:cs="Times New Roman"/>
                <w:b/>
                <w:sz w:val="26"/>
                <w:szCs w:val="26"/>
              </w:rPr>
              <w:t>Tư vấn viên thực hiện tư vấn các sản phẩm ở cấp độ Tier 1 (</w:t>
            </w:r>
            <w:r w:rsidRPr="008354C2">
              <w:rPr>
                <w:rFonts w:ascii="Times New Roman" w:eastAsia="Arial" w:hAnsi="Times New Roman" w:cs="Times New Roman"/>
                <w:b/>
                <w:i/>
                <w:sz w:val="26"/>
                <w:szCs w:val="26"/>
              </w:rPr>
              <w:t>các sản phẩm tài chính không thuộc cấp độ Tier 2</w:t>
            </w:r>
            <w:r w:rsidRPr="008354C2">
              <w:rPr>
                <w:rFonts w:ascii="Times New Roman" w:eastAsia="Arial" w:hAnsi="Times New Roman" w:cs="Times New Roman"/>
                <w:b/>
                <w:sz w:val="26"/>
                <w:szCs w:val="26"/>
              </w:rPr>
              <w:t>)</w:t>
            </w:r>
          </w:p>
        </w:tc>
        <w:tc>
          <w:tcPr>
            <w:tcW w:w="3420" w:type="dxa"/>
          </w:tcPr>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Hoàn thành khóa đào tạo cấp độ Tier 1 tại phần Đăng ký đào tạo của ASIC và bao gồm:</w:t>
            </w:r>
          </w:p>
          <w:p w:rsidR="00D4333F" w:rsidRPr="008354C2" w:rsidRDefault="00D4333F" w:rsidP="00D648A1">
            <w:pPr>
              <w:numPr>
                <w:ilvl w:val="0"/>
                <w:numId w:val="6"/>
              </w:numPr>
              <w:spacing w:before="60" w:line="276" w:lineRule="auto"/>
              <w:ind w:left="138" w:hanging="1122"/>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Kiến thức chung về sản phẩm mà tư vấn viên tư vấn và thị trường mà tư vấn viên hoạt động;</w:t>
            </w:r>
          </w:p>
          <w:p w:rsidR="00D4333F" w:rsidRPr="008354C2" w:rsidRDefault="00D4333F" w:rsidP="00D648A1">
            <w:pPr>
              <w:numPr>
                <w:ilvl w:val="0"/>
                <w:numId w:val="6"/>
              </w:numPr>
              <w:spacing w:before="60" w:line="276" w:lineRule="auto"/>
              <w:ind w:left="138" w:hanging="1122"/>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Những kiến thức chuyên sâu về sản phẩm tư vấn viên tư vấn và thị trường mà tư vấn viên hoạt động;</w:t>
            </w:r>
          </w:p>
          <w:p w:rsidR="00D4333F" w:rsidRPr="008354C2" w:rsidRDefault="00D4333F" w:rsidP="002118B4">
            <w:pPr>
              <w:spacing w:before="60" w:line="276" w:lineRule="auto"/>
              <w:ind w:left="138"/>
              <w:contextualSpacing/>
              <w:rPr>
                <w:rFonts w:ascii="Times New Roman" w:eastAsia="Arial" w:hAnsi="Times New Roman" w:cs="Times New Roman"/>
                <w:sz w:val="26"/>
                <w:szCs w:val="26"/>
              </w:rPr>
            </w:pPr>
            <w:r w:rsidRPr="008354C2">
              <w:rPr>
                <w:rFonts w:ascii="Times New Roman" w:eastAsia="Arial" w:hAnsi="Times New Roman" w:cs="Times New Roman"/>
                <w:sz w:val="26"/>
                <w:szCs w:val="26"/>
              </w:rPr>
              <w:t>Hoặc</w:t>
            </w:r>
          </w:p>
          <w:p w:rsidR="00D4333F" w:rsidRPr="008354C2" w:rsidRDefault="00D4333F" w:rsidP="00D648A1">
            <w:pPr>
              <w:numPr>
                <w:ilvl w:val="0"/>
                <w:numId w:val="6"/>
              </w:numPr>
              <w:spacing w:before="60" w:line="276" w:lineRule="auto"/>
              <w:ind w:left="138" w:hanging="1122"/>
              <w:contextualSpacing/>
              <w:rPr>
                <w:rFonts w:ascii="Times New Roman" w:eastAsia="Arial" w:hAnsi="Times New Roman" w:cs="Times New Roman"/>
                <w:sz w:val="26"/>
                <w:szCs w:val="26"/>
              </w:rPr>
            </w:pPr>
            <w:r w:rsidRPr="008354C2">
              <w:rPr>
                <w:rFonts w:ascii="Times New Roman" w:eastAsia="Arial" w:hAnsi="Times New Roman" w:cs="Times New Roman"/>
                <w:sz w:val="26"/>
                <w:szCs w:val="26"/>
              </w:rPr>
              <w:t>Được đánh giá năng lực bởi một thẩm định viên được ủy quyền.</w:t>
            </w:r>
          </w:p>
        </w:tc>
        <w:tc>
          <w:tcPr>
            <w:tcW w:w="3688" w:type="dxa"/>
          </w:tcPr>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Hoàn thành khóa đào tạo cấp độ Tier 1 tại phần Đăng ký đào tạo của ASIC và bao gồm:</w:t>
            </w:r>
          </w:p>
          <w:p w:rsidR="00D4333F" w:rsidRPr="008354C2" w:rsidRDefault="00D4333F" w:rsidP="00D648A1">
            <w:pPr>
              <w:numPr>
                <w:ilvl w:val="0"/>
                <w:numId w:val="6"/>
              </w:numPr>
              <w:spacing w:before="60" w:line="276" w:lineRule="auto"/>
              <w:ind w:left="6" w:hanging="990"/>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Kiến thức chung về sản phẩm mà tư vấn viên tư vấn và thị trường mà tư vấn viên hoạt động;</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Những kiến thức chuyên sâu về sản phẩm tư vấn viên tư vấn và thị trường mà tư vấn viên hoạt động;</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xml:space="preserve">- Những yêu cầu về kĩ năng có liên quan </w:t>
            </w:r>
            <w:r w:rsidRPr="008354C2">
              <w:rPr>
                <w:rFonts w:ascii="Times New Roman" w:eastAsia="Arial" w:hAnsi="Times New Roman" w:cs="Times New Roman"/>
                <w:sz w:val="26"/>
                <w:szCs w:val="26"/>
                <w:vertAlign w:val="superscript"/>
              </w:rPr>
              <w:footnoteReference w:id="6"/>
            </w:r>
            <w:r w:rsidRPr="008354C2">
              <w:rPr>
                <w:rFonts w:ascii="Times New Roman" w:eastAsia="Arial" w:hAnsi="Times New Roman" w:cs="Times New Roman"/>
                <w:sz w:val="26"/>
                <w:szCs w:val="26"/>
              </w:rPr>
              <w:t>;</w:t>
            </w:r>
          </w:p>
          <w:p w:rsidR="00D4333F" w:rsidRPr="008354C2" w:rsidRDefault="00D4333F" w:rsidP="002118B4">
            <w:pPr>
              <w:spacing w:before="60" w:line="276" w:lineRule="auto"/>
              <w:rPr>
                <w:rFonts w:ascii="Times New Roman" w:eastAsia="Arial" w:hAnsi="Times New Roman" w:cs="Times New Roman"/>
                <w:sz w:val="26"/>
                <w:szCs w:val="26"/>
              </w:rPr>
            </w:pPr>
            <w:r w:rsidRPr="008354C2">
              <w:rPr>
                <w:rFonts w:ascii="Times New Roman" w:eastAsia="Arial" w:hAnsi="Times New Roman" w:cs="Times New Roman"/>
                <w:sz w:val="26"/>
                <w:szCs w:val="26"/>
              </w:rPr>
              <w:t>Hoặc</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Được đánh giá năng lực bởi một thẩm định viên được ủy quyền.</w:t>
            </w:r>
          </w:p>
        </w:tc>
      </w:tr>
      <w:tr w:rsidR="00D4333F" w:rsidRPr="008354C2" w:rsidTr="002118B4">
        <w:tc>
          <w:tcPr>
            <w:tcW w:w="2178" w:type="dxa"/>
          </w:tcPr>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b/>
                <w:sz w:val="26"/>
                <w:szCs w:val="26"/>
              </w:rPr>
              <w:t>Tư vấn viên thực hiện tư vấn các sản phẩm ở cấp độ Tier 2 (</w:t>
            </w:r>
            <w:r w:rsidRPr="008354C2">
              <w:rPr>
                <w:rFonts w:ascii="Times New Roman" w:eastAsia="Arial" w:hAnsi="Times New Roman" w:cs="Times New Roman"/>
                <w:b/>
                <w:i/>
                <w:sz w:val="26"/>
                <w:szCs w:val="26"/>
              </w:rPr>
              <w:t>Các sản phẩm bảo hiểm chung, loại trừ các sản phẩm liên quan đến ốm đau, tai nạn; bảo hiểm tín dụng; sản phẩm tiền gửi cơ bản; sản phẩm thanh toán không thông qua tiền mặt</w:t>
            </w:r>
            <w:r w:rsidRPr="008354C2">
              <w:rPr>
                <w:rFonts w:ascii="Times New Roman" w:eastAsia="Arial" w:hAnsi="Times New Roman" w:cs="Times New Roman"/>
                <w:b/>
                <w:sz w:val="26"/>
                <w:szCs w:val="26"/>
              </w:rPr>
              <w:t>)</w:t>
            </w:r>
          </w:p>
        </w:tc>
        <w:tc>
          <w:tcPr>
            <w:tcW w:w="3420" w:type="dxa"/>
          </w:tcPr>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Hoàn thành khóa đào tạo tại phần Đăng ký đào tạo của ASIC đáp ứng chuẩn mực đào tạo có liên quan đến cấp độ Tier 2 và bao gồm những kiến thức chuyên sâu</w:t>
            </w:r>
            <w:r w:rsidRPr="008354C2">
              <w:rPr>
                <w:rFonts w:ascii="Times New Roman" w:eastAsia="Arial" w:hAnsi="Times New Roman" w:cs="Times New Roman"/>
                <w:sz w:val="26"/>
                <w:szCs w:val="26"/>
                <w:vertAlign w:val="superscript"/>
              </w:rPr>
              <w:footnoteReference w:id="7"/>
            </w:r>
            <w:r w:rsidRPr="008354C2">
              <w:rPr>
                <w:rFonts w:ascii="Times New Roman" w:eastAsia="Arial" w:hAnsi="Times New Roman" w:cs="Times New Roman"/>
                <w:sz w:val="26"/>
                <w:szCs w:val="26"/>
              </w:rPr>
              <w:t xml:space="preserve"> về các sản phẩm chuyên biệt và thị trường mà tư vấn viên hoạt động.</w:t>
            </w:r>
          </w:p>
          <w:p w:rsidR="00D4333F" w:rsidRPr="008354C2" w:rsidRDefault="00D4333F" w:rsidP="002118B4">
            <w:pPr>
              <w:spacing w:before="60" w:line="276" w:lineRule="auto"/>
              <w:jc w:val="both"/>
              <w:rPr>
                <w:rFonts w:ascii="Times New Roman" w:eastAsia="Arial" w:hAnsi="Times New Roman" w:cs="Times New Roman"/>
                <w:sz w:val="26"/>
                <w:szCs w:val="26"/>
              </w:rPr>
            </w:pPr>
          </w:p>
          <w:p w:rsidR="00D4333F" w:rsidRPr="008354C2" w:rsidRDefault="00D4333F" w:rsidP="002118B4">
            <w:pPr>
              <w:spacing w:before="60" w:line="276" w:lineRule="auto"/>
              <w:rPr>
                <w:rFonts w:ascii="Times New Roman" w:eastAsia="Arial" w:hAnsi="Times New Roman" w:cs="Times New Roman"/>
                <w:sz w:val="26"/>
                <w:szCs w:val="26"/>
              </w:rPr>
            </w:pPr>
            <w:r w:rsidRPr="008354C2">
              <w:rPr>
                <w:rFonts w:ascii="Times New Roman" w:eastAsia="Arial" w:hAnsi="Times New Roman" w:cs="Times New Roman"/>
                <w:sz w:val="26"/>
                <w:szCs w:val="26"/>
              </w:rPr>
              <w:t>Hoặc:</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Được đánh giá năng lực bởi một thẩm định viên được ủy quyền</w:t>
            </w:r>
          </w:p>
          <w:p w:rsidR="00D4333F" w:rsidRPr="008354C2" w:rsidRDefault="00D4333F" w:rsidP="00D648A1">
            <w:pPr>
              <w:numPr>
                <w:ilvl w:val="0"/>
                <w:numId w:val="6"/>
              </w:numPr>
              <w:spacing w:before="60" w:line="276" w:lineRule="auto"/>
              <w:ind w:left="138" w:hanging="1122"/>
              <w:contextualSpacing/>
              <w:jc w:val="both"/>
              <w:rPr>
                <w:rFonts w:ascii="Times New Roman" w:eastAsia="Arial" w:hAnsi="Times New Roman" w:cs="Times New Roman"/>
                <w:sz w:val="26"/>
                <w:szCs w:val="26"/>
              </w:rPr>
            </w:pPr>
          </w:p>
        </w:tc>
        <w:tc>
          <w:tcPr>
            <w:tcW w:w="3688" w:type="dxa"/>
          </w:tcPr>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Hoàn thành khóa đào tạo tại phần Đăng ký đào tạo của ASIC đáp ứng chuẩn mực đào tạo có liên quan đến cấp độ Tier và bao gồm:</w:t>
            </w:r>
          </w:p>
          <w:p w:rsidR="00D4333F" w:rsidRPr="008354C2" w:rsidRDefault="00D4333F" w:rsidP="00D648A1">
            <w:pPr>
              <w:numPr>
                <w:ilvl w:val="0"/>
                <w:numId w:val="6"/>
              </w:numPr>
              <w:spacing w:before="60" w:line="276" w:lineRule="auto"/>
              <w:ind w:left="186" w:hanging="180"/>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xml:space="preserve"> Những kiến thức chuyên sâu về các sản phẩm chuyên biệt và thị trường mà tư vấn viên hoạt động.</w:t>
            </w:r>
          </w:p>
          <w:p w:rsidR="00D4333F" w:rsidRPr="008354C2" w:rsidRDefault="00D4333F" w:rsidP="00D648A1">
            <w:pPr>
              <w:numPr>
                <w:ilvl w:val="0"/>
                <w:numId w:val="6"/>
              </w:numPr>
              <w:spacing w:before="60" w:line="276" w:lineRule="auto"/>
              <w:ind w:left="276" w:hanging="270"/>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Những yêu cầu về kĩ năng có liên quan;</w:t>
            </w:r>
          </w:p>
          <w:p w:rsidR="00D4333F" w:rsidRPr="008354C2" w:rsidRDefault="00D4333F" w:rsidP="002118B4">
            <w:pPr>
              <w:spacing w:before="60" w:line="276" w:lineRule="auto"/>
              <w:rPr>
                <w:rFonts w:ascii="Times New Roman" w:eastAsia="Arial" w:hAnsi="Times New Roman" w:cs="Times New Roman"/>
                <w:sz w:val="26"/>
                <w:szCs w:val="26"/>
              </w:rPr>
            </w:pPr>
            <w:r w:rsidRPr="008354C2">
              <w:rPr>
                <w:rFonts w:ascii="Times New Roman" w:eastAsia="Arial" w:hAnsi="Times New Roman" w:cs="Times New Roman"/>
                <w:sz w:val="26"/>
                <w:szCs w:val="26"/>
              </w:rPr>
              <w:t>Hoặc</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Được đánh giá năng lực bởi một thẩm định viên được ủy quyền.</w:t>
            </w:r>
          </w:p>
        </w:tc>
      </w:tr>
      <w:tr w:rsidR="00D4333F" w:rsidRPr="008354C2" w:rsidTr="002118B4">
        <w:tc>
          <w:tcPr>
            <w:tcW w:w="2178" w:type="dxa"/>
          </w:tcPr>
          <w:p w:rsidR="00D4333F" w:rsidRPr="008354C2" w:rsidRDefault="00D4333F" w:rsidP="002118B4">
            <w:pPr>
              <w:spacing w:before="60" w:line="276" w:lineRule="auto"/>
              <w:jc w:val="both"/>
              <w:rPr>
                <w:rFonts w:ascii="Times New Roman" w:eastAsia="Arial" w:hAnsi="Times New Roman" w:cs="Times New Roman"/>
                <w:b/>
                <w:sz w:val="26"/>
                <w:szCs w:val="26"/>
              </w:rPr>
            </w:pPr>
            <w:r w:rsidRPr="008354C2">
              <w:rPr>
                <w:rFonts w:ascii="Times New Roman" w:eastAsia="Arial" w:hAnsi="Times New Roman" w:cs="Times New Roman"/>
                <w:b/>
                <w:sz w:val="26"/>
                <w:szCs w:val="26"/>
              </w:rPr>
              <w:t xml:space="preserve">Tư vấn viên thực hiện tư vấn các sản phẩm tiền gửi cơ bản và liên quan đến các sản phẩm thanh toán không thông qua tiền mặt </w:t>
            </w:r>
          </w:p>
        </w:tc>
        <w:tc>
          <w:tcPr>
            <w:tcW w:w="3420" w:type="dxa"/>
          </w:tcPr>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Hoàn thành khóa đào tạo tại phần Đăng ký đào tạo của ASIC đáp ứng chuẩn mực đào tạo có liên quan đến cấp độ Tier 2 và bao gồm những kiến thức chuyên sâu</w:t>
            </w:r>
            <w:r w:rsidRPr="008354C2">
              <w:rPr>
                <w:rFonts w:ascii="Times New Roman" w:eastAsia="Arial" w:hAnsi="Times New Roman" w:cs="Times New Roman"/>
                <w:sz w:val="26"/>
                <w:szCs w:val="26"/>
                <w:vertAlign w:val="superscript"/>
              </w:rPr>
              <w:footnoteReference w:id="8"/>
            </w:r>
            <w:r w:rsidRPr="008354C2">
              <w:rPr>
                <w:rFonts w:ascii="Times New Roman" w:eastAsia="Arial" w:hAnsi="Times New Roman" w:cs="Times New Roman"/>
                <w:sz w:val="26"/>
                <w:szCs w:val="26"/>
              </w:rPr>
              <w:t xml:space="preserve"> về các sản phẩm chuyên biệt và thị trường mà tư vấn viên hoạt động; </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Hoặc</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Cần phải hoàn thành các khóa đào tạo để đạt được bằng cấp tương đương với các chuẩn mực đào tạo</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xml:space="preserve">Hoặc </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Được đánh giá năng lực bởi một thẩm định viên được ủy quyền</w:t>
            </w:r>
          </w:p>
          <w:p w:rsidR="00D4333F" w:rsidRPr="008354C2" w:rsidRDefault="00D4333F" w:rsidP="002118B4">
            <w:pPr>
              <w:spacing w:before="60" w:line="276" w:lineRule="auto"/>
              <w:jc w:val="both"/>
              <w:rPr>
                <w:rFonts w:ascii="Times New Roman" w:eastAsia="Arial" w:hAnsi="Times New Roman" w:cs="Times New Roman"/>
                <w:sz w:val="26"/>
                <w:szCs w:val="26"/>
              </w:rPr>
            </w:pPr>
          </w:p>
        </w:tc>
        <w:tc>
          <w:tcPr>
            <w:tcW w:w="3688" w:type="dxa"/>
          </w:tcPr>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Hoàn thành khóa đào tạo tại phần Đăng ký đào tạo của ASIC đáp ứng chuẩn mực đào tạo có liên quan đến cấp độ Tier 2 và bao gồm:</w:t>
            </w:r>
          </w:p>
          <w:p w:rsidR="00D4333F" w:rsidRPr="008354C2" w:rsidRDefault="00D4333F" w:rsidP="00D648A1">
            <w:pPr>
              <w:numPr>
                <w:ilvl w:val="0"/>
                <w:numId w:val="6"/>
              </w:numPr>
              <w:tabs>
                <w:tab w:val="left" w:pos="186"/>
              </w:tabs>
              <w:spacing w:before="60" w:line="276" w:lineRule="auto"/>
              <w:ind w:left="6"/>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Kiến thức chuyên sâu về sản phẩm cần tư vấn và thị trường mà tư vấn viên hoạt động;</w:t>
            </w:r>
          </w:p>
          <w:p w:rsidR="00D4333F" w:rsidRPr="008354C2" w:rsidRDefault="00D4333F" w:rsidP="00D648A1">
            <w:pPr>
              <w:numPr>
                <w:ilvl w:val="0"/>
                <w:numId w:val="6"/>
              </w:numPr>
              <w:tabs>
                <w:tab w:val="left" w:pos="186"/>
              </w:tabs>
              <w:spacing w:before="60" w:line="276" w:lineRule="auto"/>
              <w:ind w:left="6"/>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Những yêu cầu về kỹ năng có liên quan</w:t>
            </w:r>
          </w:p>
          <w:p w:rsidR="00D4333F" w:rsidRPr="008354C2" w:rsidRDefault="00D4333F" w:rsidP="00D648A1">
            <w:pPr>
              <w:numPr>
                <w:ilvl w:val="0"/>
                <w:numId w:val="6"/>
              </w:numPr>
              <w:tabs>
                <w:tab w:val="left" w:pos="186"/>
              </w:tabs>
              <w:spacing w:before="60" w:line="276" w:lineRule="auto"/>
              <w:ind w:left="6"/>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xml:space="preserve">Những yêu cầu về kĩ năng có liên quan </w:t>
            </w:r>
            <w:r w:rsidRPr="008354C2">
              <w:rPr>
                <w:rFonts w:ascii="Times New Roman" w:eastAsia="Arial" w:hAnsi="Times New Roman" w:cs="Times New Roman"/>
                <w:sz w:val="26"/>
                <w:szCs w:val="26"/>
                <w:vertAlign w:val="superscript"/>
              </w:rPr>
              <w:footnoteReference w:id="9"/>
            </w:r>
            <w:r w:rsidRPr="008354C2">
              <w:rPr>
                <w:rFonts w:ascii="Times New Roman" w:eastAsia="Arial" w:hAnsi="Times New Roman" w:cs="Times New Roman"/>
                <w:sz w:val="26"/>
                <w:szCs w:val="26"/>
              </w:rPr>
              <w:t xml:space="preserve">; </w:t>
            </w:r>
          </w:p>
          <w:p w:rsidR="00D4333F" w:rsidRPr="008354C2" w:rsidRDefault="00D4333F" w:rsidP="002118B4">
            <w:pPr>
              <w:tabs>
                <w:tab w:val="left" w:pos="186"/>
              </w:tabs>
              <w:spacing w:before="60" w:line="276" w:lineRule="auto"/>
              <w:ind w:left="6"/>
              <w:contextualSpacing/>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xml:space="preserve">Hoặc </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Cần phải hoàn thành các khóa đào tạo để đạt được bằng cấp tương đương với các chuẩn mực đào tạo</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 xml:space="preserve">Hoặc </w:t>
            </w:r>
          </w:p>
          <w:p w:rsidR="00D4333F" w:rsidRPr="008354C2" w:rsidRDefault="00D4333F" w:rsidP="002118B4">
            <w:pPr>
              <w:spacing w:before="60" w:line="276" w:lineRule="auto"/>
              <w:jc w:val="both"/>
              <w:rPr>
                <w:rFonts w:ascii="Times New Roman" w:eastAsia="Arial" w:hAnsi="Times New Roman" w:cs="Times New Roman"/>
                <w:sz w:val="26"/>
                <w:szCs w:val="26"/>
              </w:rPr>
            </w:pPr>
            <w:r w:rsidRPr="008354C2">
              <w:rPr>
                <w:rFonts w:ascii="Times New Roman" w:eastAsia="Arial" w:hAnsi="Times New Roman" w:cs="Times New Roman"/>
                <w:sz w:val="26"/>
                <w:szCs w:val="26"/>
              </w:rPr>
              <w:t>Được đánh giá năng lực bởi một thẩm định viên được ủy quyền.</w:t>
            </w:r>
          </w:p>
        </w:tc>
      </w:tr>
    </w:tbl>
    <w:p w:rsidR="00547C3A" w:rsidRPr="008354C2" w:rsidRDefault="00547C3A" w:rsidP="00547C3A">
      <w:pPr>
        <w:spacing w:after="120"/>
        <w:jc w:val="both"/>
        <w:rPr>
          <w:rFonts w:ascii="Times New Roman" w:hAnsi="Times New Roman" w:cs="Times New Roman"/>
          <w:sz w:val="28"/>
        </w:rPr>
      </w:pPr>
    </w:p>
    <w:p w:rsidR="002118B4" w:rsidRPr="008354C2" w:rsidRDefault="002118B4" w:rsidP="00547C3A">
      <w:pPr>
        <w:spacing w:after="120"/>
        <w:jc w:val="both"/>
        <w:rPr>
          <w:rFonts w:ascii="Times New Roman" w:hAnsi="Times New Roman" w:cs="Times New Roman"/>
          <w:b/>
          <w:sz w:val="28"/>
        </w:rPr>
      </w:pPr>
      <w:r w:rsidRPr="008354C2">
        <w:rPr>
          <w:rFonts w:ascii="Times New Roman" w:hAnsi="Times New Roman" w:cs="Times New Roman"/>
          <w:b/>
          <w:sz w:val="28"/>
        </w:rPr>
        <w:t>1.3.2.3. Malaysia</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Tại Malaysia, Học viện bảo hiểm Malaysisa là tổ chức đào tạo nghề chuyên nghiệp hàng đầu cho ngành bảo hiểm Malaysia. Học viện bảo hiểm Malaysia cung cấp các chương trình giáo dục có chất lượng cao và các khóa học đào tạo chuyên môn cho các cán bộ toàn ngành bảo hiểm Malaysia. Đối tượng cán bộ yêu cầu phải có chứng chỉ hành nghề là: đại lý, môi giới bảo hiểm và chuyên gia đánh giá tổn thất.</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Một yêu cầu bắt buộc đối với đối tượng tham gia chương trình là: Học viên phải vượt qua được kỳ thi đầu vào SPM hoặc O Level. Nếu như học viên đã có bằng đại học thì có thể được bỏ qua kỳ thi đầu vào SPM hoặc O level nêu trên.</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 xml:space="preserve">Học viện bảo hiểm Malaysia là cơ quan duy nhất tổ chức thi cấp chứng chỉ hành nghề đại lý bảo hiểm/môi giới/đánh giá tổn thất. Các doanh nghiệp không được phép tổ chức thi. Học viên đăng ký tham gia thi trực tuyến hoặc thi viết. Số lượng câu hỏi là 100 câu hỏi trắc nghiệm và điểm đỗ là 70/100. Thời gian làm bài thi là 3 tiếng. Phí thi online là 100 Riggit (khoảng 600.000 VND), thi viết là 80 Riggit (480.000VND). Nếu đại lý bảo hiểm nhân thọ bán sản phẩm bảo hiểm liên kết đầu tư thì ngoài chứng chỉ đại lý bảo hiểm nhân thọ, quy định học viên phải tham gia thêm khóa học bảo hiểm liên kết đầu tư là 9 chương. Kết thúc khóa học, học viên phải tham gia kỳ thi cuối khóa về sản phẩm liên kết đầu tư với 100 câu hỏi trắc nghiệm và điểm đỗ là 70/100. Học viên kết thúc khóa học về sản phẩm bảo hiểm LKĐT phải làm kỳ thi cuối khóa. Số lượng câu hỏi là 100 câu hỏi trắc nghiệm và điểm đỗ là 70/100. </w:t>
      </w:r>
    </w:p>
    <w:p w:rsidR="00547C3A" w:rsidRPr="008354C2" w:rsidRDefault="002118B4" w:rsidP="00547C3A">
      <w:pPr>
        <w:spacing w:after="120"/>
        <w:jc w:val="both"/>
        <w:rPr>
          <w:rFonts w:ascii="Times New Roman" w:hAnsi="Times New Roman" w:cs="Times New Roman"/>
          <w:b/>
          <w:sz w:val="28"/>
        </w:rPr>
      </w:pPr>
      <w:r w:rsidRPr="008354C2">
        <w:rPr>
          <w:rFonts w:ascii="Times New Roman" w:hAnsi="Times New Roman" w:cs="Times New Roman"/>
          <w:b/>
          <w:sz w:val="28"/>
        </w:rPr>
        <w:t>1.3.2.4. Singapore</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Tại Singapore, chương trình đào tạo theo khung tiêu chuẩn do Trường cao đẳng bảo hiểm Singapore (SCI - Singapore College of Insurance) đảm nhiệm. SCI được thành lập bởi Cơ quan quản lý tiền tệ (MAS - Monetary Authority of Singapore) để thực hiên việc đào tạo bảo hiểm theo khung tiêu chuẩn do Institute of Banking and Finance (thuộc MAS) thiết lập và quản lý.</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 xml:space="preserve">Liên quan đến quy định về chứng chỉ bắt buộc, tại Singapore, những người hành nghề trong lĩnh vực bảo hiểm phải có chứng chỉ bảo hiểm chung (CGI – Certification in General Insurance)  theo quy định của Cơ quan quản lý tiền tệ Singapore (MAS – Monetary Authority) đưa ra tại Thông cáo số 211 (MAS 211). Thông cáo này được ban hành theo quy định tại Điều 64(2) Luật Bảo hiểm, được áp dụng đối với các đại lý bảo hiểm, nhân viên chịu trách nhiệm bán hoặc tư vấn các sản phẩm bảo hiểm, tư vấn liên quan đến bồi thường hoặc hợp đồng bảo hiểm của doanh nghiệp bảo hiểm; các nhân viên của đơn vị cung cấp dịch vụ xử lý bồi thường cho doanh nghiệp bảo hiểm (sau đây gọi là những người có liên quan). </w:t>
      </w:r>
    </w:p>
    <w:p w:rsidR="00547C3A" w:rsidRPr="008354C2" w:rsidRDefault="00547C3A" w:rsidP="00547C3A">
      <w:pPr>
        <w:spacing w:after="120"/>
        <w:jc w:val="both"/>
        <w:rPr>
          <w:rFonts w:ascii="Times New Roman" w:hAnsi="Times New Roman" w:cs="Times New Roman"/>
          <w:i/>
          <w:sz w:val="28"/>
        </w:rPr>
      </w:pPr>
      <w:r w:rsidRPr="008354C2">
        <w:rPr>
          <w:rFonts w:ascii="Times New Roman" w:hAnsi="Times New Roman" w:cs="Times New Roman"/>
          <w:i/>
          <w:sz w:val="28"/>
        </w:rPr>
        <w:t>Thông cáo số 211 quy định những yêu cầu liên quan đến chứng chỉ CGI như sau:</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 xml:space="preserve"> (a) Những đại lý bảo hiểm chịu trách nhiệm bán, cung cấp tư vấn bán hàng về bảo hiểm cá nhân (như bảo hiểm trách nhiệm, tài sản…), những người có liên quan hoặc</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(b) Những người có liên quan cung cấp tư vấn xử lý bồi thường hoặc liên quan đến bảo hiểm cá nhân, yêu cầu phải hoàn thành 2 module của chứng chỉ CGI là BCP (Những khái niệm và nguyên lý cơ bản của bảo hiểm) và PGI (Bảo hiểm cá nhân).</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Liên quan đến:</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(a) Những đại lý bảo hiểm chịu trách nhiệm bán, cung cấp tư vấn bán hàng về bảo hiểm thương mại, những người có liên quan hoặc</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(b) Những người có liên quan cung cấp tư vấn xử lý bồi thường hoặc liên quan đến bảo hiểm thương mại,</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yêu cầu phải hoàn thành 2 module của chứng chỉ CGI là BCP (Những khái niệm và nguyên lý cơ bản của bảo hiểm) và ComGI (Bảo hiểm cá nhân).</w:t>
      </w:r>
    </w:p>
    <w:p w:rsidR="00547C3A" w:rsidRPr="008354C2" w:rsidRDefault="00547C3A" w:rsidP="00547C3A">
      <w:pPr>
        <w:spacing w:after="120"/>
        <w:jc w:val="both"/>
        <w:rPr>
          <w:rFonts w:ascii="Times New Roman" w:hAnsi="Times New Roman" w:cs="Times New Roman"/>
          <w:i/>
          <w:sz w:val="28"/>
        </w:rPr>
      </w:pPr>
      <w:r w:rsidRPr="008354C2">
        <w:rPr>
          <w:rFonts w:ascii="Times New Roman" w:hAnsi="Times New Roman" w:cs="Times New Roman"/>
          <w:i/>
          <w:sz w:val="28"/>
        </w:rPr>
        <w:t>Ngoài ra, Thông cáo 211 cũng đưa ra những quy định bắt buộc đối với đại lý bảo hiểm được phép thu xếp hợp đồng như sau:</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(a) đại lý phải được đăng ký Hội đồng đăng ký đại lý (Agent’s Registration Board – là Hội đồng được thành lập bởi Hiệp hội bảo hiểm Singapore (GIAS));</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(b) Thỏa mãn những điều kiện sau:</w:t>
      </w:r>
    </w:p>
    <w:p w:rsidR="00547C3A" w:rsidRPr="008354C2" w:rsidRDefault="00547C3A" w:rsidP="00D82A8F">
      <w:pPr>
        <w:spacing w:after="120"/>
        <w:ind w:firstLine="360"/>
        <w:jc w:val="both"/>
        <w:rPr>
          <w:rFonts w:ascii="Times New Roman" w:hAnsi="Times New Roman" w:cs="Times New Roman"/>
          <w:sz w:val="28"/>
        </w:rPr>
      </w:pPr>
      <w:r w:rsidRPr="008354C2">
        <w:rPr>
          <w:rFonts w:ascii="Times New Roman" w:hAnsi="Times New Roman" w:cs="Times New Roman"/>
          <w:sz w:val="28"/>
        </w:rPr>
        <w:t>(i) đủ 18 tuổi trở lên;</w:t>
      </w:r>
    </w:p>
    <w:p w:rsidR="00547C3A" w:rsidRPr="008354C2" w:rsidRDefault="00547C3A" w:rsidP="00D82A8F">
      <w:pPr>
        <w:spacing w:after="120"/>
        <w:ind w:firstLine="360"/>
        <w:jc w:val="both"/>
        <w:rPr>
          <w:rFonts w:ascii="Times New Roman" w:hAnsi="Times New Roman" w:cs="Times New Roman"/>
          <w:sz w:val="28"/>
        </w:rPr>
      </w:pPr>
      <w:r w:rsidRPr="008354C2">
        <w:rPr>
          <w:rFonts w:ascii="Times New Roman" w:hAnsi="Times New Roman" w:cs="Times New Roman"/>
          <w:sz w:val="28"/>
        </w:rPr>
        <w:t>(ii) là công dân của Singapore hoặc cư dân lưu trú dài hạn;</w:t>
      </w:r>
    </w:p>
    <w:p w:rsidR="00547C3A" w:rsidRPr="008354C2" w:rsidRDefault="00547C3A" w:rsidP="00D82A8F">
      <w:pPr>
        <w:spacing w:after="120"/>
        <w:ind w:firstLine="360"/>
        <w:jc w:val="both"/>
        <w:rPr>
          <w:rFonts w:ascii="Times New Roman" w:hAnsi="Times New Roman" w:cs="Times New Roman"/>
          <w:sz w:val="28"/>
        </w:rPr>
      </w:pPr>
      <w:r w:rsidRPr="008354C2">
        <w:rPr>
          <w:rFonts w:ascii="Times New Roman" w:hAnsi="Times New Roman" w:cs="Times New Roman"/>
          <w:sz w:val="28"/>
        </w:rPr>
        <w:t>(iii) đạt được tối thiểu những bằng cấp học thuật tương đương hoặc cao hơn bằng GCE cấp độ “O” (GCE “O” l</w:t>
      </w:r>
      <w:r w:rsidR="00B63FC7" w:rsidRPr="008354C2">
        <w:rPr>
          <w:rFonts w:ascii="Times New Roman" w:hAnsi="Times New Roman" w:cs="Times New Roman"/>
          <w:sz w:val="28"/>
        </w:rPr>
        <w:t>evel)</w:t>
      </w:r>
      <w:r w:rsidR="00AB42FF" w:rsidRPr="008354C2">
        <w:rPr>
          <w:rStyle w:val="FootnoteReference"/>
          <w:rFonts w:ascii="Times New Roman" w:hAnsi="Times New Roman" w:cs="Times New Roman"/>
          <w:sz w:val="28"/>
        </w:rPr>
        <w:footnoteReference w:id="10"/>
      </w:r>
      <w:r w:rsidR="00B63FC7" w:rsidRPr="008354C2">
        <w:rPr>
          <w:rFonts w:ascii="Times New Roman" w:hAnsi="Times New Roman" w:cs="Times New Roman"/>
          <w:sz w:val="28"/>
        </w:rPr>
        <w:t xml:space="preserve"> </w:t>
      </w:r>
      <w:r w:rsidRPr="008354C2">
        <w:rPr>
          <w:rFonts w:ascii="Times New Roman" w:hAnsi="Times New Roman" w:cs="Times New Roman"/>
          <w:sz w:val="28"/>
        </w:rPr>
        <w:t>hoặc ít nhất phải có chứng chỉ Năng lực cơ bản (Basic Competency Examination Certificate) được trao bởi Trường Cao đẳng bảo hiểm Singapore nếu đại lý đó không có bằng GCE cấp độ “O” và:</w:t>
      </w:r>
    </w:p>
    <w:p w:rsidR="00547C3A" w:rsidRPr="008354C2" w:rsidRDefault="00547C3A" w:rsidP="00D82A8F">
      <w:pPr>
        <w:spacing w:after="120"/>
        <w:ind w:firstLine="360"/>
        <w:jc w:val="both"/>
        <w:rPr>
          <w:rFonts w:ascii="Times New Roman" w:hAnsi="Times New Roman" w:cs="Times New Roman"/>
          <w:sz w:val="28"/>
        </w:rPr>
      </w:pPr>
      <w:r w:rsidRPr="008354C2">
        <w:rPr>
          <w:rFonts w:ascii="Times New Roman" w:hAnsi="Times New Roman" w:cs="Times New Roman"/>
          <w:sz w:val="28"/>
        </w:rPr>
        <w:t>(iv) cá nhân thỏa mãn một trong những yêu cầu sau đây:</w:t>
      </w:r>
    </w:p>
    <w:p w:rsidR="00547C3A" w:rsidRPr="008354C2" w:rsidRDefault="00547C3A" w:rsidP="00D82A8F">
      <w:pPr>
        <w:spacing w:after="120"/>
        <w:ind w:firstLine="720"/>
        <w:jc w:val="both"/>
        <w:rPr>
          <w:rFonts w:ascii="Times New Roman" w:hAnsi="Times New Roman" w:cs="Times New Roman"/>
          <w:sz w:val="28"/>
        </w:rPr>
      </w:pPr>
      <w:r w:rsidRPr="008354C2">
        <w:rPr>
          <w:rFonts w:ascii="Times New Roman" w:hAnsi="Times New Roman" w:cs="Times New Roman"/>
          <w:sz w:val="28"/>
        </w:rPr>
        <w:t>(A) có chứng chỉ CGI</w:t>
      </w:r>
      <w:r w:rsidR="00B63FC7" w:rsidRPr="008354C2">
        <w:rPr>
          <w:rStyle w:val="FootnoteReference"/>
          <w:rFonts w:ascii="Times New Roman" w:hAnsi="Times New Roman" w:cs="Times New Roman"/>
          <w:sz w:val="28"/>
        </w:rPr>
        <w:footnoteReference w:id="11"/>
      </w:r>
    </w:p>
    <w:p w:rsidR="00547C3A" w:rsidRPr="008354C2" w:rsidRDefault="00547C3A" w:rsidP="00D82A8F">
      <w:pPr>
        <w:spacing w:after="120"/>
        <w:ind w:firstLine="720"/>
        <w:jc w:val="both"/>
        <w:rPr>
          <w:rFonts w:ascii="Times New Roman" w:hAnsi="Times New Roman" w:cs="Times New Roman"/>
          <w:sz w:val="28"/>
        </w:rPr>
      </w:pPr>
      <w:r w:rsidRPr="008354C2">
        <w:rPr>
          <w:rFonts w:ascii="Times New Roman" w:hAnsi="Times New Roman" w:cs="Times New Roman"/>
          <w:sz w:val="28"/>
        </w:rPr>
        <w:t>(B) Không yêu cầu có chứng chỉ CGI nếu đại lý hoạt động lần đầu vào năm 1990; hoặc</w:t>
      </w:r>
    </w:p>
    <w:p w:rsidR="00547C3A" w:rsidRPr="008354C2" w:rsidRDefault="00547C3A" w:rsidP="00D82A8F">
      <w:pPr>
        <w:spacing w:after="120"/>
        <w:ind w:firstLine="720"/>
        <w:jc w:val="both"/>
        <w:rPr>
          <w:rFonts w:ascii="Times New Roman" w:hAnsi="Times New Roman" w:cs="Times New Roman"/>
          <w:sz w:val="28"/>
        </w:rPr>
      </w:pPr>
      <w:r w:rsidRPr="008354C2">
        <w:rPr>
          <w:rFonts w:ascii="Times New Roman" w:hAnsi="Times New Roman" w:cs="Times New Roman"/>
          <w:sz w:val="28"/>
        </w:rPr>
        <w:t>(C) Có các chứng chỉ, bằng cấp thay thế chứng chỉ CGI. Danh sách những chứng chỉ, bằng cấp có thể thay thế được liệt kê tại Phụ lục; hoặc</w:t>
      </w:r>
    </w:p>
    <w:p w:rsidR="00547C3A" w:rsidRPr="008354C2" w:rsidRDefault="00547C3A" w:rsidP="00D82A8F">
      <w:pPr>
        <w:spacing w:after="120"/>
        <w:ind w:firstLine="720"/>
        <w:jc w:val="both"/>
        <w:rPr>
          <w:rFonts w:ascii="Times New Roman" w:hAnsi="Times New Roman" w:cs="Times New Roman"/>
          <w:sz w:val="28"/>
        </w:rPr>
      </w:pPr>
      <w:r w:rsidRPr="008354C2">
        <w:rPr>
          <w:rFonts w:ascii="Times New Roman" w:hAnsi="Times New Roman" w:cs="Times New Roman"/>
          <w:sz w:val="28"/>
        </w:rPr>
        <w:t>(D) nếu đại lý là đại lý thương mại đặc biệt, có chứng chỉ được chấp thuận thay vì chứng chỉ CGI được liệt kê tại Phụ lục.</w:t>
      </w:r>
    </w:p>
    <w:p w:rsidR="00547C3A" w:rsidRPr="008354C2" w:rsidRDefault="00547C3A" w:rsidP="00547C3A">
      <w:pPr>
        <w:spacing w:after="120"/>
        <w:jc w:val="both"/>
        <w:rPr>
          <w:rFonts w:ascii="Times New Roman" w:hAnsi="Times New Roman" w:cs="Times New Roman"/>
          <w:i/>
          <w:sz w:val="28"/>
        </w:rPr>
      </w:pPr>
      <w:r w:rsidRPr="008354C2">
        <w:rPr>
          <w:rFonts w:ascii="Times New Roman" w:hAnsi="Times New Roman" w:cs="Times New Roman"/>
          <w:i/>
          <w:sz w:val="28"/>
        </w:rPr>
        <w:t>Đối với một số trường hợp, đại lý không cần phải có chứng chỉ CGI, cụ thể như sau:</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(a) đại lý đang sở hữu Chứng chỉ thực hành bảo hiểm và</w:t>
      </w:r>
    </w:p>
    <w:p w:rsidR="00547C3A"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(b) đã đăng ký với Hội đồng đăng ký đại lý trước tháng 9/2009.</w:t>
      </w:r>
    </w:p>
    <w:p w:rsidR="00D82A8F" w:rsidRPr="008354C2" w:rsidRDefault="00547C3A" w:rsidP="00547C3A">
      <w:pPr>
        <w:spacing w:after="120"/>
        <w:jc w:val="both"/>
        <w:rPr>
          <w:rFonts w:ascii="Times New Roman" w:hAnsi="Times New Roman" w:cs="Times New Roman"/>
          <w:sz w:val="28"/>
        </w:rPr>
      </w:pPr>
      <w:r w:rsidRPr="008354C2">
        <w:rPr>
          <w:rFonts w:ascii="Times New Roman" w:hAnsi="Times New Roman" w:cs="Times New Roman"/>
          <w:sz w:val="28"/>
        </w:rPr>
        <w:t xml:space="preserve">Sau khi đạt chứng chỉ cơ bản bắt buộc theo quy định tại Thông cáo số 211 (MAS 211), những người hành nghề trong lĩnh vực bảo hiểm có thể lựa chọn tiếp tục theo học các chứng chỉ quốc tế tại SCI (như chứng chỉ của ANZIIF, CII) hoặc sẽ được đào tạo tại công ty. </w:t>
      </w:r>
    </w:p>
    <w:p w:rsidR="00547C3A" w:rsidRPr="008354C2" w:rsidRDefault="00C61836" w:rsidP="009B37BB">
      <w:pPr>
        <w:spacing w:after="120"/>
        <w:jc w:val="both"/>
        <w:rPr>
          <w:rFonts w:ascii="Times New Roman" w:hAnsi="Times New Roman" w:cs="Times New Roman"/>
          <w:b/>
          <w:sz w:val="28"/>
          <w:szCs w:val="28"/>
        </w:rPr>
      </w:pPr>
      <w:r w:rsidRPr="008354C2">
        <w:rPr>
          <w:rFonts w:ascii="Times New Roman" w:hAnsi="Times New Roman" w:cs="Times New Roman"/>
          <w:b/>
          <w:sz w:val="28"/>
        </w:rPr>
        <w:t xml:space="preserve">1.3.3. </w:t>
      </w:r>
      <w:r w:rsidR="00614B8B" w:rsidRPr="008354C2">
        <w:rPr>
          <w:rFonts w:ascii="Times New Roman" w:hAnsi="Times New Roman" w:cs="Times New Roman"/>
          <w:b/>
          <w:sz w:val="28"/>
        </w:rPr>
        <w:t xml:space="preserve">Quy định </w:t>
      </w:r>
      <w:r w:rsidR="00614B8B" w:rsidRPr="008354C2">
        <w:rPr>
          <w:rFonts w:ascii="Times New Roman" w:hAnsi="Times New Roman" w:cs="Times New Roman"/>
          <w:b/>
          <w:sz w:val="28"/>
          <w:szCs w:val="28"/>
        </w:rPr>
        <w:t>v</w:t>
      </w:r>
      <w:r w:rsidRPr="008354C2">
        <w:rPr>
          <w:rFonts w:ascii="Times New Roman" w:hAnsi="Times New Roman" w:cs="Times New Roman"/>
          <w:b/>
          <w:sz w:val="28"/>
          <w:szCs w:val="28"/>
        </w:rPr>
        <w:t>ề công tác tổ chức thi chứng chỉ hành nghề</w:t>
      </w:r>
    </w:p>
    <w:p w:rsidR="00C61836" w:rsidRPr="008354C2" w:rsidRDefault="00C61836" w:rsidP="00C61836">
      <w:pPr>
        <w:spacing w:after="120"/>
        <w:jc w:val="both"/>
        <w:rPr>
          <w:rFonts w:ascii="Times New Roman" w:hAnsi="Times New Roman" w:cs="Times New Roman"/>
          <w:sz w:val="28"/>
        </w:rPr>
      </w:pPr>
      <w:r w:rsidRPr="008354C2">
        <w:rPr>
          <w:rFonts w:ascii="Times New Roman" w:hAnsi="Times New Roman" w:cs="Times New Roman"/>
          <w:sz w:val="28"/>
        </w:rPr>
        <w:t xml:space="preserve">Về công tác tổ chức thi chứng chỉ hành nghề, hầu hết các nước đều đưa ra các quy định bắt buộc phải có chứng chỉ hành nghề đối với người làm trung gian bảo hiểm như đại lý BH, môi giới BH. Riêng đối với việc tổ chức thi chứng chỉ đại lý bảo hiểm, hiện nay, tại các nước trong khu vực và thế giới, việc tổ chức thi chứng chỉ đại lý bảo hiểm phần lớn được quy định trong Luật Kinh doanh bảo hiểm. Theo đó, việc tổ chức thi được thực hiện theo một trong </w:t>
      </w:r>
      <w:r w:rsidR="00B33794" w:rsidRPr="008354C2">
        <w:rPr>
          <w:rFonts w:ascii="Times New Roman" w:hAnsi="Times New Roman" w:cs="Times New Roman"/>
          <w:sz w:val="28"/>
        </w:rPr>
        <w:t>3</w:t>
      </w:r>
      <w:r w:rsidRPr="008354C2">
        <w:rPr>
          <w:rFonts w:ascii="Times New Roman" w:hAnsi="Times New Roman" w:cs="Times New Roman"/>
          <w:sz w:val="28"/>
        </w:rPr>
        <w:t xml:space="preserve"> mô hình sau:</w:t>
      </w:r>
    </w:p>
    <w:p w:rsidR="00C61836" w:rsidRPr="008354C2" w:rsidRDefault="00C61836" w:rsidP="00C61836">
      <w:pPr>
        <w:spacing w:after="120"/>
        <w:jc w:val="both"/>
        <w:rPr>
          <w:rFonts w:ascii="Times New Roman" w:hAnsi="Times New Roman" w:cs="Times New Roman"/>
          <w:i/>
          <w:sz w:val="28"/>
        </w:rPr>
      </w:pPr>
      <w:r w:rsidRPr="008354C2">
        <w:rPr>
          <w:rFonts w:ascii="Times New Roman" w:hAnsi="Times New Roman" w:cs="Times New Roman"/>
          <w:i/>
          <w:sz w:val="28"/>
        </w:rPr>
        <w:t>-  Mô hình 1: Cơ quan quản lý trực tiếp tổ chức thi:</w:t>
      </w:r>
    </w:p>
    <w:p w:rsidR="00C61836" w:rsidRPr="008354C2" w:rsidRDefault="00C61836" w:rsidP="00C61836">
      <w:pPr>
        <w:spacing w:after="120"/>
        <w:jc w:val="both"/>
        <w:rPr>
          <w:rFonts w:ascii="Times New Roman" w:hAnsi="Times New Roman" w:cs="Times New Roman"/>
          <w:sz w:val="28"/>
        </w:rPr>
      </w:pPr>
      <w:r w:rsidRPr="008354C2">
        <w:rPr>
          <w:rFonts w:ascii="Times New Roman" w:hAnsi="Times New Roman" w:cs="Times New Roman"/>
          <w:sz w:val="28"/>
        </w:rPr>
        <w:t>+ Bộ Khảo thí (Đài Loan): Bộ Khảo thí thực hiện tổ chức thi và cấp chứng chỉ hành nghề cho các cá nhân hoạt động trong các lĩnh vực nghề nghiệp tại Đài Loan.</w:t>
      </w:r>
    </w:p>
    <w:p w:rsidR="00C61836" w:rsidRPr="008354C2" w:rsidRDefault="00C61836" w:rsidP="00C61836">
      <w:pPr>
        <w:spacing w:after="120"/>
        <w:jc w:val="both"/>
        <w:rPr>
          <w:rFonts w:ascii="Times New Roman" w:hAnsi="Times New Roman" w:cs="Times New Roman"/>
          <w:sz w:val="28"/>
        </w:rPr>
      </w:pPr>
      <w:r w:rsidRPr="008354C2">
        <w:rPr>
          <w:rFonts w:ascii="Times New Roman" w:hAnsi="Times New Roman" w:cs="Times New Roman"/>
          <w:sz w:val="28"/>
        </w:rPr>
        <w:t xml:space="preserve">+ Cơ quan quản lý bảo hiểm thuộc chính quyền tại các bang (Mỹ): Thông thường, cơ quan quản lý bảo hiểm sẽ hợp đồng thuê 01 cơ sở đào tạo có uy tín để tổ chức thi (thuê ngoài). </w:t>
      </w:r>
    </w:p>
    <w:p w:rsidR="00C61836" w:rsidRPr="008354C2" w:rsidRDefault="00C61836" w:rsidP="00C61836">
      <w:pPr>
        <w:spacing w:after="120"/>
        <w:jc w:val="both"/>
        <w:rPr>
          <w:rFonts w:ascii="Times New Roman" w:hAnsi="Times New Roman" w:cs="Times New Roman"/>
          <w:sz w:val="28"/>
        </w:rPr>
      </w:pPr>
      <w:r w:rsidRPr="008354C2">
        <w:rPr>
          <w:rFonts w:ascii="Times New Roman" w:hAnsi="Times New Roman" w:cs="Times New Roman"/>
          <w:i/>
          <w:sz w:val="28"/>
        </w:rPr>
        <w:t>- Mô hình 2: Một cơ sở đào tạo về bảo hiểm do Nhà nước thành lập tổ chức thi</w:t>
      </w:r>
      <w:r w:rsidRPr="008354C2">
        <w:rPr>
          <w:rFonts w:ascii="Times New Roman" w:hAnsi="Times New Roman" w:cs="Times New Roman"/>
          <w:sz w:val="28"/>
        </w:rPr>
        <w:t xml:space="preserve"> (Viện Bảo hiểm (MII - Malaysia), Trường Đại học Bảo hiểm (SCI -Singapore)) </w:t>
      </w:r>
    </w:p>
    <w:p w:rsidR="00C61836" w:rsidRPr="008354C2" w:rsidRDefault="00C61836" w:rsidP="00C61836">
      <w:pPr>
        <w:spacing w:after="120"/>
        <w:jc w:val="both"/>
        <w:rPr>
          <w:rFonts w:ascii="Times New Roman" w:hAnsi="Times New Roman" w:cs="Times New Roman"/>
          <w:i/>
          <w:sz w:val="28"/>
        </w:rPr>
      </w:pPr>
      <w:r w:rsidRPr="008354C2">
        <w:rPr>
          <w:rFonts w:ascii="Times New Roman" w:hAnsi="Times New Roman" w:cs="Times New Roman"/>
          <w:i/>
          <w:sz w:val="28"/>
        </w:rPr>
        <w:t xml:space="preserve">- Mô hình </w:t>
      </w:r>
      <w:r w:rsidR="00B33794" w:rsidRPr="008354C2">
        <w:rPr>
          <w:rFonts w:ascii="Times New Roman" w:hAnsi="Times New Roman" w:cs="Times New Roman"/>
          <w:i/>
          <w:sz w:val="28"/>
        </w:rPr>
        <w:t>3</w:t>
      </w:r>
      <w:r w:rsidRPr="008354C2">
        <w:rPr>
          <w:rFonts w:ascii="Times New Roman" w:hAnsi="Times New Roman" w:cs="Times New Roman"/>
          <w:i/>
          <w:sz w:val="28"/>
        </w:rPr>
        <w:t xml:space="preserve">: Hiệp hội Bảo hiểm tổ chức thi (Hàn Quốc, Nhật Bản). </w:t>
      </w:r>
    </w:p>
    <w:p w:rsidR="00C61836" w:rsidRPr="008354C2" w:rsidRDefault="00C61836" w:rsidP="00C61836">
      <w:pPr>
        <w:spacing w:after="120"/>
        <w:jc w:val="both"/>
        <w:rPr>
          <w:rFonts w:ascii="Times New Roman" w:hAnsi="Times New Roman" w:cs="Times New Roman"/>
          <w:sz w:val="28"/>
        </w:rPr>
      </w:pPr>
      <w:r w:rsidRPr="008354C2">
        <w:rPr>
          <w:rFonts w:ascii="Times New Roman" w:hAnsi="Times New Roman" w:cs="Times New Roman"/>
          <w:sz w:val="28"/>
        </w:rPr>
        <w:t>Theo đó:</w:t>
      </w:r>
    </w:p>
    <w:p w:rsidR="00C61836" w:rsidRPr="008354C2" w:rsidRDefault="00C61836" w:rsidP="00C61836">
      <w:pPr>
        <w:spacing w:after="120"/>
        <w:jc w:val="both"/>
        <w:rPr>
          <w:rFonts w:ascii="Times New Roman" w:hAnsi="Times New Roman" w:cs="Times New Roman"/>
          <w:sz w:val="28"/>
        </w:rPr>
      </w:pPr>
      <w:r w:rsidRPr="008354C2">
        <w:rPr>
          <w:rFonts w:ascii="Times New Roman" w:hAnsi="Times New Roman" w:cs="Times New Roman"/>
          <w:sz w:val="28"/>
        </w:rPr>
        <w:t>- Mỗi mô hình sẽ phù hợp với đặc thù phát triển của thị trường bảo hiểm nhất định.</w:t>
      </w:r>
    </w:p>
    <w:p w:rsidR="00C61836" w:rsidRPr="008354C2" w:rsidRDefault="00C61836" w:rsidP="00C61836">
      <w:pPr>
        <w:spacing w:after="120"/>
        <w:jc w:val="both"/>
        <w:rPr>
          <w:rFonts w:ascii="Times New Roman" w:hAnsi="Times New Roman" w:cs="Times New Roman"/>
          <w:sz w:val="28"/>
        </w:rPr>
      </w:pPr>
      <w:r w:rsidRPr="008354C2">
        <w:rPr>
          <w:rFonts w:ascii="Times New Roman" w:hAnsi="Times New Roman" w:cs="Times New Roman"/>
          <w:sz w:val="28"/>
        </w:rPr>
        <w:t>- Dù thực hiện theo mô hình nào, việc tổ chức thi đều thực hiện tập trung tại một hoặc một số ít cơ quan, đơn vị, cơ sở và được quy định tại Luật. Các cơ sở đào tạo này đều độc lập với DNBH để đảm bảo tính khách quan.</w:t>
      </w:r>
    </w:p>
    <w:p w:rsidR="009E6FC1" w:rsidRPr="008354C2" w:rsidRDefault="00C61836" w:rsidP="009E6FC1">
      <w:pPr>
        <w:spacing w:after="120"/>
        <w:jc w:val="both"/>
        <w:rPr>
          <w:rFonts w:ascii="Times New Roman" w:hAnsi="Times New Roman" w:cs="Times New Roman"/>
          <w:sz w:val="28"/>
        </w:rPr>
      </w:pPr>
      <w:r w:rsidRPr="008354C2">
        <w:rPr>
          <w:rFonts w:ascii="Times New Roman" w:hAnsi="Times New Roman" w:cs="Times New Roman"/>
          <w:sz w:val="28"/>
        </w:rPr>
        <w:t>- Trường hợp tổ chức thi theo mô hình (</w:t>
      </w:r>
      <w:r w:rsidR="00D1699D" w:rsidRPr="008354C2">
        <w:rPr>
          <w:rFonts w:ascii="Times New Roman" w:hAnsi="Times New Roman" w:cs="Times New Roman"/>
          <w:sz w:val="28"/>
        </w:rPr>
        <w:t>1</w:t>
      </w:r>
      <w:r w:rsidRPr="008354C2">
        <w:rPr>
          <w:rFonts w:ascii="Times New Roman" w:hAnsi="Times New Roman" w:cs="Times New Roman"/>
          <w:sz w:val="28"/>
        </w:rPr>
        <w:t>), (</w:t>
      </w:r>
      <w:r w:rsidR="00D1699D" w:rsidRPr="008354C2">
        <w:rPr>
          <w:rFonts w:ascii="Times New Roman" w:hAnsi="Times New Roman" w:cs="Times New Roman"/>
          <w:sz w:val="28"/>
        </w:rPr>
        <w:t>2</w:t>
      </w:r>
      <w:r w:rsidRPr="008354C2">
        <w:rPr>
          <w:rFonts w:ascii="Times New Roman" w:hAnsi="Times New Roman" w:cs="Times New Roman"/>
          <w:sz w:val="28"/>
        </w:rPr>
        <w:t>) hoặc mô hình (</w:t>
      </w:r>
      <w:r w:rsidR="00D1699D" w:rsidRPr="008354C2">
        <w:rPr>
          <w:rFonts w:ascii="Times New Roman" w:hAnsi="Times New Roman" w:cs="Times New Roman"/>
          <w:sz w:val="28"/>
        </w:rPr>
        <w:t>3</w:t>
      </w:r>
      <w:r w:rsidRPr="008354C2">
        <w:rPr>
          <w:rFonts w:ascii="Times New Roman" w:hAnsi="Times New Roman" w:cs="Times New Roman"/>
          <w:sz w:val="28"/>
        </w:rPr>
        <w:t>), đơn vị tổ chức thi thực hiện ra đề thi, coi thi, chấm thi, công bố kết quả thi...theo hướng dẫn của cơ quan quản lý. Dù không trực tiếp tổ chức thi, nhưng cơ quan quản lý vẫn quản lý, giám sát hoạt động tổ chức thi của các cơ sở</w:t>
      </w:r>
      <w:r w:rsidR="009E6FC1" w:rsidRPr="008354C2">
        <w:rPr>
          <w:rFonts w:ascii="Times New Roman" w:hAnsi="Times New Roman" w:cs="Times New Roman"/>
          <w:sz w:val="28"/>
        </w:rPr>
        <w:t xml:space="preserve"> này.</w:t>
      </w:r>
      <w:r w:rsidRPr="008354C2">
        <w:rPr>
          <w:rFonts w:ascii="Times New Roman" w:hAnsi="Times New Roman" w:cs="Times New Roman"/>
          <w:sz w:val="28"/>
        </w:rPr>
        <w:tab/>
      </w:r>
    </w:p>
    <w:p w:rsidR="00C61836" w:rsidRPr="008354C2" w:rsidRDefault="00C61836" w:rsidP="009E6FC1">
      <w:pPr>
        <w:spacing w:after="120"/>
        <w:jc w:val="both"/>
        <w:rPr>
          <w:rFonts w:ascii="Times New Roman" w:hAnsi="Times New Roman" w:cs="Times New Roman"/>
          <w:sz w:val="28"/>
        </w:rPr>
      </w:pPr>
      <w:r w:rsidRPr="008354C2">
        <w:rPr>
          <w:rFonts w:ascii="Times New Roman" w:hAnsi="Times New Roman" w:cs="Times New Roman"/>
          <w:sz w:val="28"/>
        </w:rPr>
        <w:t xml:space="preserve">- Với các nước thực hiện tổ chức thi theo mô hình </w:t>
      </w:r>
      <w:r w:rsidR="00415FF2" w:rsidRPr="008354C2">
        <w:rPr>
          <w:rFonts w:ascii="Times New Roman" w:hAnsi="Times New Roman" w:cs="Times New Roman"/>
          <w:sz w:val="28"/>
        </w:rPr>
        <w:t>3</w:t>
      </w:r>
      <w:r w:rsidRPr="008354C2">
        <w:rPr>
          <w:rFonts w:ascii="Times New Roman" w:hAnsi="Times New Roman" w:cs="Times New Roman"/>
          <w:sz w:val="28"/>
        </w:rPr>
        <w:t xml:space="preserve">, Hiệp hội Bảo hiểm hoạt động mạnh, tính chuyên nghiệp cao, cơ chế tự quản hiệu quả, đã xây dựng được mạng lưới cơ sở vật chất kỹ thuật thi tập trung tại các điểm thi trên toàn quốc (tại Hàn Quốc, Hiệp hội Bảo hiểm nhân thọ Hàn Quốc (KLIA) mỗi năm tổ chức thi chứng chỉ đại lý bảo hiểm cho khoảng 170.000 lượt người. KLIA có 6 văn phòng và xây dựng được 17 điểm thi trên toàn quốc, hệ thống công nghệ thông tin hiện đại, đảm bảo việc dự thi của thí sinh).   </w:t>
      </w:r>
    </w:p>
    <w:p w:rsidR="007B3100" w:rsidRPr="008354C2" w:rsidRDefault="007B3100" w:rsidP="007B3100">
      <w:pPr>
        <w:spacing w:after="120"/>
        <w:jc w:val="both"/>
        <w:rPr>
          <w:rFonts w:ascii="Times New Roman" w:hAnsi="Times New Roman" w:cs="Times New Roman"/>
          <w:b/>
          <w:sz w:val="28"/>
        </w:rPr>
      </w:pPr>
      <w:r w:rsidRPr="008354C2">
        <w:rPr>
          <w:rFonts w:ascii="Times New Roman" w:hAnsi="Times New Roman" w:cs="Times New Roman"/>
          <w:b/>
          <w:sz w:val="28"/>
        </w:rPr>
        <w:t xml:space="preserve">2. </w:t>
      </w:r>
      <w:r w:rsidR="00614B8B" w:rsidRPr="008354C2">
        <w:rPr>
          <w:rFonts w:ascii="Times New Roman" w:hAnsi="Times New Roman" w:cs="Times New Roman"/>
          <w:b/>
          <w:sz w:val="28"/>
        </w:rPr>
        <w:t>Quy định</w:t>
      </w:r>
      <w:r w:rsidRPr="008354C2">
        <w:rPr>
          <w:rFonts w:ascii="Times New Roman" w:hAnsi="Times New Roman" w:cs="Times New Roman"/>
          <w:b/>
          <w:sz w:val="28"/>
        </w:rPr>
        <w:t xml:space="preserve"> về công tác xây dựng cơ sở dữ liệu, đề xuất mức phí sàn, thống nhất phương pháp định phí bảo hiểm, phương pháp trích lập dự phòng</w:t>
      </w:r>
    </w:p>
    <w:p w:rsidR="00C61836" w:rsidRPr="008354C2" w:rsidRDefault="007B3100" w:rsidP="002B6793">
      <w:pPr>
        <w:spacing w:after="120"/>
        <w:jc w:val="both"/>
        <w:rPr>
          <w:rFonts w:ascii="Times New Roman" w:hAnsi="Times New Roman" w:cs="Times New Roman"/>
          <w:sz w:val="28"/>
        </w:rPr>
      </w:pPr>
      <w:r w:rsidRPr="008354C2">
        <w:rPr>
          <w:rFonts w:ascii="Times New Roman" w:hAnsi="Times New Roman" w:cs="Times New Roman"/>
          <w:sz w:val="28"/>
        </w:rPr>
        <w:t>Luật pháp tại một số quốc gia có quy định rõ về trách nhiệm cung cấp dữ liệu về bảo hiểm của các đối tượng kinh doanh trên thị trường bảo hiểm nhằm tạo cơ sở cho công tác xây dựng cơ sở dữ liệu của ngành bảo hiểm. Việc xây dựng cơ sở dữ liệu, đề xuất mức phí sàn, thống nhất phương pháp định phí bảo hiểm và phương pháp trích lập dự phòng thường do các hiệp hội ngành nghề lĩnh vực bảo hiểm thực hiện (Ủy ban bảo hiểm NAIC – Hoa Kỳ; JAIL – Nhật Bản...). Tuy nhiên, tại một số quốc gia (điển hình là Hàn Quốc), các Viện về bảo hiểm có nguồn gốc từ cơ quan Chính phủ là đơn vị chuyên biệt để xây dựng, quản lý cơ sở dữ liệu đặc thù, xây dựng mức phí sàn làm mức phí tham chiếu, thống nhất cơ sở mức phí cho toàn thị trường.</w:t>
      </w:r>
      <w:r w:rsidR="002B6793" w:rsidRPr="008354C2">
        <w:rPr>
          <w:rFonts w:ascii="Times New Roman" w:hAnsi="Times New Roman" w:cs="Times New Roman"/>
          <w:sz w:val="28"/>
        </w:rPr>
        <w:t xml:space="preserve"> Quy định tại một số quốc gia cụ thể như sau:</w:t>
      </w:r>
    </w:p>
    <w:p w:rsidR="002B6793" w:rsidRPr="008354C2" w:rsidRDefault="002B6793" w:rsidP="002B6793">
      <w:pPr>
        <w:spacing w:after="120"/>
        <w:jc w:val="both"/>
        <w:rPr>
          <w:rFonts w:ascii="Times New Roman" w:hAnsi="Times New Roman" w:cs="Times New Roman"/>
          <w:b/>
          <w:sz w:val="28"/>
        </w:rPr>
      </w:pPr>
      <w:r w:rsidRPr="008354C2">
        <w:rPr>
          <w:rFonts w:ascii="Times New Roman" w:hAnsi="Times New Roman" w:cs="Times New Roman"/>
          <w:b/>
          <w:sz w:val="28"/>
        </w:rPr>
        <w:t>2.1. Nhật Bản</w:t>
      </w:r>
    </w:p>
    <w:p w:rsidR="002B6793" w:rsidRPr="008354C2" w:rsidRDefault="002B6793" w:rsidP="002B6793">
      <w:pPr>
        <w:spacing w:after="120"/>
        <w:jc w:val="both"/>
        <w:rPr>
          <w:rFonts w:ascii="Times New Roman" w:hAnsi="Times New Roman" w:cs="Times New Roman"/>
          <w:sz w:val="28"/>
        </w:rPr>
      </w:pPr>
      <w:r w:rsidRPr="008354C2">
        <w:rPr>
          <w:rFonts w:ascii="Times New Roman" w:hAnsi="Times New Roman" w:cs="Times New Roman"/>
          <w:sz w:val="28"/>
        </w:rPr>
        <w:t>Liên quan đến công tác đào tạo chuyên môn và kỹ năng tính toán, bao gồm tính toán phí bảo hiểm, Luật KDBH Nhật Bản quy định tổ chức Phát triển và đào tạo những người có kiến thức chuyên môn và kỹ năng về khoa học tính toán bảo hiểm phải đệ trình hồ sơ cấp phép và phê duyệt bởi Thủ tướng. (Điều 122-2 (1)). Liên quan đến thu thập báo cáo dữ liệu, ngoài quy định báo cáo đối với các DNBH, Luật KDBH Nhật Bản còn yêu cầu bên tư vấn bảo hiểm hoặc nhà môi giới bảo hiểm báo cáo và cung cấp dữ liệu theo yêu cầu (Điều 305: Trong giới hạn cần thiết cho việc thi hành Luật này, Thủ tướng có thể yêu cầu Bên tư vấn bảo hiểm hoặc nhà môi giới bảo hiểm cụ thể gửi bất kỳ báo cáo hoặc dữ liệu nào để tham khảo về hoạt động kinh doanh hoặc tài sản của mình hoặc chỉ đạo nhân viên phụ trách).</w:t>
      </w:r>
    </w:p>
    <w:p w:rsidR="002B6793" w:rsidRPr="008354C2" w:rsidRDefault="002B6793" w:rsidP="002B6793">
      <w:pPr>
        <w:spacing w:after="120"/>
        <w:jc w:val="both"/>
        <w:rPr>
          <w:rFonts w:ascii="Times New Roman" w:hAnsi="Times New Roman" w:cs="Times New Roman"/>
          <w:b/>
          <w:sz w:val="28"/>
        </w:rPr>
      </w:pPr>
      <w:r w:rsidRPr="008354C2">
        <w:rPr>
          <w:rFonts w:ascii="Times New Roman" w:hAnsi="Times New Roman" w:cs="Times New Roman"/>
          <w:b/>
          <w:sz w:val="28"/>
        </w:rPr>
        <w:t>2.2. Úc</w:t>
      </w:r>
    </w:p>
    <w:p w:rsidR="002B6793" w:rsidRPr="008354C2" w:rsidRDefault="002B6793" w:rsidP="002B6793">
      <w:pPr>
        <w:spacing w:after="120"/>
        <w:jc w:val="both"/>
        <w:rPr>
          <w:rFonts w:ascii="Times New Roman" w:hAnsi="Times New Roman" w:cs="Times New Roman"/>
          <w:sz w:val="28"/>
        </w:rPr>
      </w:pPr>
      <w:r w:rsidRPr="008354C2">
        <w:rPr>
          <w:rFonts w:ascii="Times New Roman" w:hAnsi="Times New Roman" w:cs="Times New Roman"/>
          <w:sz w:val="28"/>
        </w:rPr>
        <w:t xml:space="preserve">Luật </w:t>
      </w:r>
      <w:r w:rsidR="003C72C0" w:rsidRPr="008354C2">
        <w:rPr>
          <w:rFonts w:ascii="Times New Roman" w:hAnsi="Times New Roman" w:cs="Times New Roman"/>
          <w:sz w:val="28"/>
        </w:rPr>
        <w:t>Hợp đồng bảo hiểm</w:t>
      </w:r>
      <w:r w:rsidRPr="008354C2">
        <w:rPr>
          <w:rFonts w:ascii="Times New Roman" w:hAnsi="Times New Roman" w:cs="Times New Roman"/>
          <w:sz w:val="28"/>
        </w:rPr>
        <w:t xml:space="preserve"> Úc năm 1973 quy định cơ quan quản lý thận trọng của Úc có thể thu hồi giấy phép của công ty bảo hiểm nếu công ty bảo hiểm không tuân thủ yêu cầu của ngành tài chính về thu thập dữ liệu (Mục 15, Chương 3 – thu hồi giấy phép).</w:t>
      </w:r>
    </w:p>
    <w:p w:rsidR="003C72C0" w:rsidRPr="008354C2" w:rsidRDefault="002B6793" w:rsidP="003C72C0">
      <w:pPr>
        <w:spacing w:after="120"/>
        <w:jc w:val="both"/>
        <w:rPr>
          <w:rFonts w:ascii="Times New Roman" w:hAnsi="Times New Roman" w:cs="Times New Roman"/>
          <w:b/>
          <w:sz w:val="28"/>
        </w:rPr>
      </w:pPr>
      <w:r w:rsidRPr="008354C2">
        <w:rPr>
          <w:rFonts w:ascii="Times New Roman" w:hAnsi="Times New Roman" w:cs="Times New Roman"/>
          <w:b/>
          <w:sz w:val="28"/>
        </w:rPr>
        <w:t>2.3.</w:t>
      </w:r>
      <w:r w:rsidR="003C72C0" w:rsidRPr="008354C2">
        <w:rPr>
          <w:rFonts w:ascii="Times New Roman" w:hAnsi="Times New Roman" w:cs="Times New Roman"/>
          <w:b/>
          <w:sz w:val="28"/>
        </w:rPr>
        <w:t xml:space="preserve"> Đức</w:t>
      </w:r>
      <w:r w:rsidRPr="008354C2">
        <w:rPr>
          <w:rFonts w:ascii="Times New Roman" w:hAnsi="Times New Roman" w:cs="Times New Roman"/>
          <w:b/>
          <w:sz w:val="28"/>
        </w:rPr>
        <w:t xml:space="preserve"> </w:t>
      </w:r>
    </w:p>
    <w:p w:rsidR="003C72C0" w:rsidRPr="008354C2" w:rsidRDefault="003C72C0" w:rsidP="003C72C0">
      <w:pPr>
        <w:spacing w:after="120"/>
        <w:jc w:val="both"/>
        <w:rPr>
          <w:rFonts w:ascii="Times New Roman" w:hAnsi="Times New Roman" w:cs="Times New Roman"/>
          <w:sz w:val="28"/>
        </w:rPr>
      </w:pPr>
      <w:r w:rsidRPr="008354C2">
        <w:rPr>
          <w:rFonts w:ascii="Times New Roman" w:hAnsi="Times New Roman" w:cs="Times New Roman"/>
          <w:sz w:val="28"/>
        </w:rPr>
        <w:t xml:space="preserve">Luật Hợp đồng bảo hiểm của CHLB Đức có quy định cụ thể về việc thu thập dữ liệu cá nhân liên quan đến sức khỏe từ bên thứ ba, cho phép các công ty bảo hiểm được nhận dữ liệu liên quan đến sức khỏe cá nhân từ bác sĩ, bệnh viện và các tổ chức y tế khác (Điều 213 – Lấy dữ liệu cá nhân liên quan đến sức khỏe từ bên thứ ba): </w:t>
      </w:r>
    </w:p>
    <w:p w:rsidR="003C72C0" w:rsidRPr="008354C2" w:rsidRDefault="003C72C0" w:rsidP="003C72C0">
      <w:pPr>
        <w:spacing w:after="120"/>
        <w:jc w:val="both"/>
        <w:rPr>
          <w:rFonts w:ascii="Times New Roman" w:hAnsi="Times New Roman" w:cs="Times New Roman"/>
          <w:i/>
          <w:sz w:val="28"/>
        </w:rPr>
      </w:pPr>
      <w:r w:rsidRPr="008354C2">
        <w:rPr>
          <w:rFonts w:ascii="Times New Roman" w:hAnsi="Times New Roman" w:cs="Times New Roman"/>
          <w:i/>
          <w:sz w:val="28"/>
        </w:rPr>
        <w:t xml:space="preserve">Điều 213 - Lấy dữ liệu cá nhân liên quan đến sức khỏe từ bên thứ ba: </w:t>
      </w:r>
    </w:p>
    <w:p w:rsidR="003C72C0" w:rsidRPr="008354C2" w:rsidRDefault="003C72C0" w:rsidP="003C72C0">
      <w:pPr>
        <w:spacing w:after="120"/>
        <w:jc w:val="both"/>
        <w:rPr>
          <w:rFonts w:ascii="Times New Roman" w:hAnsi="Times New Roman" w:cs="Times New Roman"/>
          <w:i/>
          <w:sz w:val="28"/>
        </w:rPr>
      </w:pPr>
      <w:r w:rsidRPr="008354C2">
        <w:rPr>
          <w:rFonts w:ascii="Times New Roman" w:hAnsi="Times New Roman" w:cs="Times New Roman"/>
          <w:i/>
          <w:sz w:val="28"/>
        </w:rPr>
        <w:t>(1) Công ty bảo hiểm chỉ có thể xin dữ liệu liên quan đến sức khỏe cá nhân từ bác sĩ, bệnh viện và các tổ chức y tế khác, phòng khám và nhân viên y tế, các công ty bảo hiểm khác và các công ty bảo hiểm y tế theo luật định cũng như bảo hiểm xã hội cho các tai nạn nghề nghiệp và cơ quan công; điều này chỉ được phép nếu việc biết các dữ liệu này là cần thiết để đánh giá rủi ro được bảo hiểm hoặc trách nhiệm và người bị ảnh hưởng đã đồng ý.</w:t>
      </w:r>
    </w:p>
    <w:p w:rsidR="003C72C0" w:rsidRPr="008354C2" w:rsidRDefault="003C72C0" w:rsidP="003C72C0">
      <w:pPr>
        <w:spacing w:after="120"/>
        <w:jc w:val="both"/>
        <w:rPr>
          <w:rFonts w:ascii="Times New Roman" w:hAnsi="Times New Roman" w:cs="Times New Roman"/>
          <w:i/>
          <w:sz w:val="28"/>
        </w:rPr>
      </w:pPr>
      <w:r w:rsidRPr="008354C2">
        <w:rPr>
          <w:rFonts w:ascii="Times New Roman" w:hAnsi="Times New Roman" w:cs="Times New Roman"/>
          <w:i/>
          <w:sz w:val="28"/>
        </w:rPr>
        <w:t xml:space="preserve">(2) Sự đồng ý theo tiểu mục (1) có thể đưa ra trước khi đệ trình thông báo chấp nhận hợp đồng. Người bị ảnh hưởng phải được thông báo trước khi có được dữ liệu đề cập ở tiểu mục (1); người này có thể phản đối dữ liệu đã lấy được. </w:t>
      </w:r>
    </w:p>
    <w:p w:rsidR="003C72C0" w:rsidRPr="008354C2" w:rsidRDefault="003C72C0" w:rsidP="003C72C0">
      <w:pPr>
        <w:spacing w:after="120"/>
        <w:jc w:val="both"/>
        <w:rPr>
          <w:rFonts w:ascii="Times New Roman" w:hAnsi="Times New Roman" w:cs="Times New Roman"/>
          <w:i/>
          <w:sz w:val="28"/>
        </w:rPr>
      </w:pPr>
      <w:r w:rsidRPr="008354C2">
        <w:rPr>
          <w:rFonts w:ascii="Times New Roman" w:hAnsi="Times New Roman" w:cs="Times New Roman"/>
          <w:i/>
          <w:sz w:val="28"/>
        </w:rPr>
        <w:t>(3) Người bị ảnh hưởng có thể yêu cầu tại mọi thời điểm rằng, dữ liệu chỉ được lấy nếu đã đồng thuận trong từng trường hợp cụ thể.</w:t>
      </w:r>
    </w:p>
    <w:p w:rsidR="003C72C0" w:rsidRPr="008354C2" w:rsidRDefault="003C72C0" w:rsidP="003C72C0">
      <w:pPr>
        <w:spacing w:after="120"/>
        <w:jc w:val="both"/>
        <w:rPr>
          <w:rFonts w:ascii="Times New Roman" w:hAnsi="Times New Roman" w:cs="Times New Roman"/>
          <w:i/>
          <w:sz w:val="28"/>
        </w:rPr>
      </w:pPr>
      <w:r w:rsidRPr="008354C2">
        <w:rPr>
          <w:rFonts w:ascii="Times New Roman" w:hAnsi="Times New Roman" w:cs="Times New Roman"/>
          <w:i/>
          <w:sz w:val="28"/>
        </w:rPr>
        <w:t>(4) Người bị ảnh hưởng sẽ được thông báo về các quyền này và sẽ được thông báo về quyền phản đối theo tiểu mục (2) khi được hướng dẫn.</w:t>
      </w:r>
    </w:p>
    <w:p w:rsidR="003C72C0" w:rsidRPr="008354C2" w:rsidRDefault="003C72C0" w:rsidP="003C72C0">
      <w:pPr>
        <w:spacing w:after="120"/>
        <w:jc w:val="both"/>
        <w:rPr>
          <w:rFonts w:ascii="Times New Roman" w:hAnsi="Times New Roman" w:cs="Times New Roman"/>
          <w:i/>
          <w:sz w:val="28"/>
        </w:rPr>
      </w:pPr>
      <w:r w:rsidRPr="008354C2">
        <w:rPr>
          <w:rFonts w:ascii="Times New Roman" w:hAnsi="Times New Roman" w:cs="Times New Roman"/>
          <w:i/>
          <w:sz w:val="28"/>
        </w:rPr>
        <w:t>đến văn phòng của Bên tư vấn bảo hiểm hoặc Chuyên viên môi giới bảo hiểm được chỉ định để kiểm tra điều kiện kinh doanh hoặc tài sản hoặc sổ sách và tài liệu cũng như các tài liệu khác hoặc đặt câu hỏi đối với những người có liên quan.</w:t>
      </w:r>
    </w:p>
    <w:p w:rsidR="003C72C0" w:rsidRPr="008354C2" w:rsidRDefault="003C72C0" w:rsidP="003C72C0">
      <w:pPr>
        <w:spacing w:after="120"/>
        <w:jc w:val="both"/>
        <w:rPr>
          <w:rFonts w:ascii="Times New Roman" w:hAnsi="Times New Roman" w:cs="Times New Roman"/>
          <w:i/>
          <w:sz w:val="28"/>
        </w:rPr>
      </w:pPr>
      <w:r w:rsidRPr="008354C2">
        <w:rPr>
          <w:rFonts w:ascii="Times New Roman" w:hAnsi="Times New Roman" w:cs="Times New Roman"/>
          <w:i/>
          <w:sz w:val="28"/>
        </w:rPr>
        <w:t>(5) Đã tiến hành hành vi sai trái liên quan tới Bổ nhiệm; hoặc Đã vi phạm Pháp lệnh theo khoản (3).</w:t>
      </w:r>
    </w:p>
    <w:p w:rsidR="002B6793" w:rsidRPr="008354C2" w:rsidRDefault="003C72C0" w:rsidP="003C72C0">
      <w:pPr>
        <w:spacing w:after="120"/>
        <w:jc w:val="both"/>
        <w:rPr>
          <w:rFonts w:ascii="Times New Roman" w:hAnsi="Times New Roman" w:cs="Times New Roman"/>
          <w:i/>
          <w:sz w:val="28"/>
        </w:rPr>
      </w:pPr>
      <w:r w:rsidRPr="008354C2">
        <w:rPr>
          <w:rFonts w:ascii="Times New Roman" w:hAnsi="Times New Roman" w:cs="Times New Roman"/>
          <w:i/>
          <w:sz w:val="28"/>
        </w:rPr>
        <w:t>(6) Ngoài những điều được quy định tại các khoản trước, thủ tục Bổ nhiệm và bất kỳ vấn đề liên quan khác tới Tổ chức được bổ nhiệm phải được quy định theo Pháp lệnh của Văn phòng Nội các.</w:t>
      </w:r>
    </w:p>
    <w:p w:rsidR="00A27303" w:rsidRPr="008354C2" w:rsidRDefault="00A27303" w:rsidP="003C72C0">
      <w:pPr>
        <w:spacing w:after="120"/>
        <w:jc w:val="both"/>
        <w:rPr>
          <w:rFonts w:ascii="Times New Roman" w:hAnsi="Times New Roman" w:cs="Times New Roman"/>
          <w:b/>
          <w:sz w:val="28"/>
        </w:rPr>
      </w:pPr>
      <w:r w:rsidRPr="008354C2">
        <w:rPr>
          <w:rFonts w:ascii="Times New Roman" w:hAnsi="Times New Roman" w:cs="Times New Roman"/>
          <w:b/>
          <w:sz w:val="28"/>
        </w:rPr>
        <w:t>2.4. Hàn Quốc</w:t>
      </w:r>
    </w:p>
    <w:p w:rsidR="00A27303" w:rsidRPr="008354C2" w:rsidRDefault="00E0177C" w:rsidP="00A27303">
      <w:pPr>
        <w:spacing w:after="120"/>
        <w:jc w:val="both"/>
        <w:rPr>
          <w:rFonts w:ascii="Times New Roman" w:hAnsi="Times New Roman" w:cs="Times New Roman"/>
          <w:sz w:val="28"/>
        </w:rPr>
      </w:pPr>
      <w:r w:rsidRPr="008354C2">
        <w:rPr>
          <w:rFonts w:ascii="Times New Roman" w:hAnsi="Times New Roman" w:cs="Times New Roman"/>
          <w:sz w:val="28"/>
        </w:rPr>
        <w:t xml:space="preserve">- </w:t>
      </w:r>
      <w:r w:rsidR="00A27303" w:rsidRPr="008354C2">
        <w:rPr>
          <w:rFonts w:ascii="Times New Roman" w:hAnsi="Times New Roman" w:cs="Times New Roman"/>
          <w:sz w:val="28"/>
        </w:rPr>
        <w:t>Hàn Quốc là quốc gia mà pháp luật có quy định cụ thể ngay tại cấp độ Luật về bảo hiểm đối với hoạt động định phí, cung cấp dữ liệu cho các cơ quan định phí và cơ quan quản lý giám sát bảo hiểm. Cụ thể như sau:</w:t>
      </w:r>
    </w:p>
    <w:p w:rsidR="00A27303" w:rsidRPr="008354C2" w:rsidRDefault="00E0177C" w:rsidP="00A27303">
      <w:pPr>
        <w:spacing w:after="120"/>
        <w:jc w:val="both"/>
        <w:rPr>
          <w:rFonts w:ascii="Times New Roman" w:hAnsi="Times New Roman" w:cs="Times New Roman"/>
          <w:sz w:val="28"/>
        </w:rPr>
      </w:pPr>
      <w:r w:rsidRPr="008354C2">
        <w:rPr>
          <w:rFonts w:ascii="Times New Roman" w:hAnsi="Times New Roman" w:cs="Times New Roman"/>
          <w:sz w:val="28"/>
        </w:rPr>
        <w:t xml:space="preserve">- </w:t>
      </w:r>
      <w:r w:rsidR="00A27303" w:rsidRPr="008354C2">
        <w:rPr>
          <w:rFonts w:ascii="Times New Roman" w:hAnsi="Times New Roman" w:cs="Times New Roman"/>
          <w:sz w:val="28"/>
        </w:rPr>
        <w:t xml:space="preserve">Luật KDBH Hàn Quốc đã quy định cụ thể về hoạt động và quyền hạn của tổ chức tính toán tỷ lệ phí bảo hiểm trực tiếp liên quan đến công tác thu thập dữ liệu và định phí bảo hiểm (Điều 176 Luật KDBH): </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 xml:space="preserve">Điều 176: </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Tổ chức tính toán tỷ lệ phí bảo hiểm có quyền thực hiện bất kỳ công việc nào sau đây, theo quy định của các điều khoản của hiệp hội:</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(i) Tính toán, xác minh và cung cấp tỷ lệ phí bảo hiểm ròng;</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(ii) Thu thập, cung cấp thông tin liên quan đến bảo hiểm và tổng hợp số liệu thống kê;</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(iii) Khảo sát và nghiên cứu về bảo hiểm;</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5. Các tổ chức định phí bảo hiểm có quyền tích hợp một cách có hệ thống và tổng hợp các số liệu thống kê liên quan đến bảo hiểm để thực hiện các công việc được quy định theo Luật này, chẳng hạn như tính toán tỷ lệ phí bảo hiểm ròng, và có thể yêu cầu cung cấp dữ liệu từ các công ty bảo hiểm, nếu cần thiết. Trong những trường hợp như vậy, các công ty bảo hiểm phải thực hiện theo yêu cầu.</w:t>
      </w:r>
    </w:p>
    <w:p w:rsidR="00A27303" w:rsidRPr="008354C2" w:rsidRDefault="00E0177C" w:rsidP="00A27303">
      <w:pPr>
        <w:spacing w:after="120"/>
        <w:jc w:val="both"/>
        <w:rPr>
          <w:rFonts w:ascii="Times New Roman" w:hAnsi="Times New Roman" w:cs="Times New Roman"/>
          <w:sz w:val="28"/>
        </w:rPr>
      </w:pPr>
      <w:r w:rsidRPr="008354C2">
        <w:rPr>
          <w:rFonts w:ascii="Times New Roman" w:hAnsi="Times New Roman" w:cs="Times New Roman"/>
          <w:sz w:val="28"/>
        </w:rPr>
        <w:t xml:space="preserve">- </w:t>
      </w:r>
      <w:r w:rsidR="00A27303" w:rsidRPr="008354C2">
        <w:rPr>
          <w:rFonts w:ascii="Times New Roman" w:hAnsi="Times New Roman" w:cs="Times New Roman"/>
          <w:sz w:val="28"/>
        </w:rPr>
        <w:t>Nghị định thi hành Luật Bảo hiểm của Hàn Quốc quy định tại Điều 71 (Báo cáo về việc sửa đổi tài liệu cơ bản) yêu cầu các tài liệu cơ bản báo cáo của công ty bảo hiểm cho Ủy ban dịch vụ tài chính (cơ quan quản lý giám sát bảo hiểm Hàn Quốc) về sản phẩm bảo hiểm phải được chứng nhận  của cơ quan tính toán phí bảo hiểm cho việc tính toán phí bảo hiểm và dự phòng theo hợp đồng là chính xác hay không, các tỷ lệ rủi ro dự kiến có đủ hay không.</w:t>
      </w:r>
    </w:p>
    <w:p w:rsidR="00A27303" w:rsidRPr="008354C2" w:rsidRDefault="00E0177C" w:rsidP="00A27303">
      <w:pPr>
        <w:spacing w:after="120"/>
        <w:jc w:val="both"/>
        <w:rPr>
          <w:rFonts w:ascii="Times New Roman" w:hAnsi="Times New Roman" w:cs="Times New Roman"/>
          <w:sz w:val="28"/>
        </w:rPr>
      </w:pPr>
      <w:r w:rsidRPr="008354C2">
        <w:rPr>
          <w:rFonts w:ascii="Times New Roman" w:hAnsi="Times New Roman" w:cs="Times New Roman"/>
          <w:sz w:val="28"/>
        </w:rPr>
        <w:t xml:space="preserve">- </w:t>
      </w:r>
      <w:r w:rsidR="00A27303" w:rsidRPr="008354C2">
        <w:rPr>
          <w:rFonts w:ascii="Times New Roman" w:hAnsi="Times New Roman" w:cs="Times New Roman"/>
          <w:sz w:val="28"/>
        </w:rPr>
        <w:t xml:space="preserve">Cơ quan tính toán phí bảo hiểm (tổ chức định phí bảo hiểm) tại </w:t>
      </w:r>
      <w:r w:rsidR="00571C84" w:rsidRPr="008354C2">
        <w:rPr>
          <w:rFonts w:ascii="Times New Roman" w:hAnsi="Times New Roman" w:cs="Times New Roman"/>
          <w:sz w:val="28"/>
        </w:rPr>
        <w:t>H</w:t>
      </w:r>
      <w:r w:rsidR="00A27303" w:rsidRPr="008354C2">
        <w:rPr>
          <w:rFonts w:ascii="Times New Roman" w:hAnsi="Times New Roman" w:cs="Times New Roman"/>
          <w:sz w:val="28"/>
        </w:rPr>
        <w:t>àn Quốc là tổ chức được thành lập theo quy định của Ủy ban dịch vụ tài chính. Điều 85 của Nghị định thi hành Luật Bảo hiểm quy định về việc thành lập cơ quan tính toán phí bảo hiểm như sau:</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85 (Cho phép thành lập cơ quan tính toán tỷ lệ phí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Bất kỳ người nào có ý định xin phép thành lập tổ chức tính phí bảo hiểmtheo Điều 176 (1) của Luật phải nộp đơn bằng văn bản nêu rõ các vấn đề thuộc từng tiểu mục sau đây với Ủy ban Dịch vụ Tài chính: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Tiêu đề;</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Mục đích thành lập;</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Trụ sở; và</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4. Vấn đề liên quan đến các người sáng lập và giám đốc điều hành.</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Hồ sơ xin thành lập theo đoạn (1) phải kèm theo các tài liệu thuộc từng tiểu mục sau: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Điều khoản thành lập;</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Kế hoạch kinh doanh và báo cáo dự toán thu, chi trong hai năm sau khi bắt đầu kinh doanh;</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Tiểu sử của người sáng lập;</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4. Các tài liệu ghi rõ loại và phương thức kinh doanh; và</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5. Các tài liệu khác được coi là cần thiết để kiểm tra đơn xin ủy quyền thành lập.</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Bất kỳ người nộp đơn xin ủy quyền theo khoản (1) phải đáp ứng các yêu cầu thuộc từng tiểu mục sau đây:</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Các nguồn nhân lực chuyên nghiệp cần thiết để thực hiện công việc theo từng đoạn của Điều 176 (3) của Luật sẽ được bảo đảm;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Người quản lý bao gồm cả giám đốc điều hành, v.v bao gồm những người có đủ kiến thức và kinh nghiệm trong kinh doanh bảo hiểm; và</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3. Các yêu cầu theo Điều 10 (2) 1 và 2 phải được thỏ</w:t>
      </w:r>
      <w:r w:rsidR="00571C84" w:rsidRPr="008354C2">
        <w:rPr>
          <w:rFonts w:ascii="Times New Roman" w:hAnsi="Times New Roman" w:cs="Times New Roman"/>
          <w:i/>
          <w:sz w:val="28"/>
        </w:rPr>
        <w:t>a mãn.</w:t>
      </w:r>
    </w:p>
    <w:p w:rsidR="00A27303" w:rsidRPr="008354C2" w:rsidRDefault="00E0177C" w:rsidP="00A27303">
      <w:pPr>
        <w:spacing w:after="120"/>
        <w:jc w:val="both"/>
        <w:rPr>
          <w:rFonts w:ascii="Times New Roman" w:hAnsi="Times New Roman" w:cs="Times New Roman"/>
          <w:sz w:val="28"/>
        </w:rPr>
      </w:pPr>
      <w:r w:rsidRPr="008354C2">
        <w:rPr>
          <w:rFonts w:ascii="Times New Roman" w:hAnsi="Times New Roman" w:cs="Times New Roman"/>
          <w:sz w:val="28"/>
        </w:rPr>
        <w:t xml:space="preserve">- </w:t>
      </w:r>
      <w:r w:rsidR="00A27303" w:rsidRPr="008354C2">
        <w:rPr>
          <w:rFonts w:ascii="Times New Roman" w:hAnsi="Times New Roman" w:cs="Times New Roman"/>
          <w:sz w:val="28"/>
        </w:rPr>
        <w:t>Cơ quan định phí bảo hiểm có chức năng cung cấp thông tin về quá trình tai nạn ô tô và giá trị tiêu chuẩn của ô tô thông qua việc sử dụng thông tin lưu giữ; vận hành mạng máy tính để kiểm soát thông tin bảo hiểm do các Công ty bảo hiểm cung cấp, v.v;  Thực hiện công việc để chấp nhận bảo hiểm; Tính mức bảo hiểm cho hợp đồng bảo hiểm được chấp nhận bởi Công ty bảo hiểm theo thoả thuận phù hợp với Luật bảo hiểm (không bao gồm các hợp đồng bảo hiểm có tỷ lệ bảo hiểm rủi ro được bảo đảm không được tính toán do thiếu số liệu thống kê kinh nghiệm trong nước, v.v); các công việc được ủy thác theo Điều 194 (4) và (5) của Luật bảo hiểm;… (Điều 86, Nghị định thi hành Luật Bảo hiể</w:t>
      </w:r>
      <w:r w:rsidR="00571C84" w:rsidRPr="008354C2">
        <w:rPr>
          <w:rFonts w:ascii="Times New Roman" w:hAnsi="Times New Roman" w:cs="Times New Roman"/>
          <w:sz w:val="28"/>
        </w:rPr>
        <w:t>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86 (Công việc của Cơ quan tính toán tỷ lệ phí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Thuật ngữ “công việc khác theo Nghị định” trong Điều 176 (3) 6 của Luật có nghĩa là công việc thuộc từng đoạn sau đây:</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&lt;Được sửa đổi theo Nghị quyết số 18761 đề ngày 31/03/2005&gt;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Công việc để cung cấp thông tin về quá trình tai nạn ô tô và giá trị tiêu chuẩn của ô tô thông qua việc sử dụng thông tin lưu giữ;</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Công việc để vận hành mạng máy tính để kiểm soát thông tin bảo hiểm do các Công ty bảo hiểm cung cấp, v.v;</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Công việc để chấp nhận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4. Làm việc để tính mức bảo hiểm cho hợp đồng bảo hiểm được chấp nhận bởi Công ty bảo hiểm theo thoả thuận của Điều 125 của Luật (không bao gồm các hợp đồng bảo hiểm có tỷ lệ bảo hiểm rủi ro được bảo đảm không được tính toán do thiếu số liệu thống kê kinh nghiệm trong nước, v.v);</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5. Công việc được ủy thác theo Điều 194 (4) và (5) của Luật;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6. Công việc được nhà điều hành kinh doanh hưu trí nhận trợ cấp theo Điều 15 (2) của Luật bảo đảm quyền lợi hưu trí của người lao động;</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và</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7. Công việc theo quy định của các hành vi khác và các Luật cấp dưới được cơ quan tính toán phí bảo hiểm thực hiện.</w:t>
      </w:r>
    </w:p>
    <w:p w:rsidR="00A27303" w:rsidRPr="008354C2" w:rsidRDefault="00E0177C" w:rsidP="00A27303">
      <w:pPr>
        <w:spacing w:after="120"/>
        <w:jc w:val="both"/>
        <w:rPr>
          <w:rFonts w:ascii="Times New Roman" w:hAnsi="Times New Roman" w:cs="Times New Roman"/>
          <w:sz w:val="28"/>
        </w:rPr>
      </w:pPr>
      <w:r w:rsidRPr="008354C2">
        <w:rPr>
          <w:rFonts w:ascii="Times New Roman" w:hAnsi="Times New Roman" w:cs="Times New Roman"/>
          <w:sz w:val="28"/>
        </w:rPr>
        <w:t xml:space="preserve">- </w:t>
      </w:r>
      <w:r w:rsidR="00A27303" w:rsidRPr="008354C2">
        <w:rPr>
          <w:rFonts w:ascii="Times New Roman" w:hAnsi="Times New Roman" w:cs="Times New Roman"/>
          <w:sz w:val="28"/>
        </w:rPr>
        <w:t>Nghị định thi hành Luật Bảo hiểm củ</w:t>
      </w:r>
      <w:r w:rsidRPr="008354C2">
        <w:rPr>
          <w:rFonts w:ascii="Times New Roman" w:hAnsi="Times New Roman" w:cs="Times New Roman"/>
          <w:sz w:val="28"/>
        </w:rPr>
        <w:t xml:space="preserve">a </w:t>
      </w:r>
      <w:r w:rsidR="00A27303" w:rsidRPr="008354C2">
        <w:rPr>
          <w:rFonts w:ascii="Times New Roman" w:hAnsi="Times New Roman" w:cs="Times New Roman"/>
          <w:sz w:val="28"/>
        </w:rPr>
        <w:t>Hàn Quốc cũng quy định chi tiết việc tính toán và xác minh mức phí bảo hiểm ròng tham chiếu cho thị trường, quy định việc thu thập, cung cấp và quản lý các dữ liệu về tai nạn giao thông, bệnh tật (Điều 87, 88, 89, 90, 91, 100, 701), ủy thác công việc của cơ quan quản lý cho cơ quan tính phí và bên liên quan. Cụ thể như sau:</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87 (Tính toán và xác minh mức phí bảo hiểm ròng  tham chiếu)</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Người đứng đầu cơ quan tính toán phí bảo hiểm có thể trình bày tỷ lệ phí bảo hiểm ròng đã được báo cáo cho Ủy ban Dịch vụ Tài chính bằng cách tính toán hoặc điều chỉnh tỷ lệ rủi ro theo đặc điểm của loại bảo hiểm và rủi ro trên cơ sở số liệu thống kê quá trình của Công ty bảo hiểm, v.v (sau đây gọi là “mức phí bảo hiểm ròng để tham khảo”) khi bất kỳ Công ty bảo hiểm nào yêu cầu họ.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Các điều khoản của Điều 71 (2) sẽ áp dụng các biện pháp thay thế cho các báo cáo theo đoạn (1).</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(3) Người đứng đầu cơ quan tính toán phí bảo hiểm phải xác định liệu mức đóng bảo hiểm ròng có liên quan hay không, thực hiện xác minh hàng năm (ba năm một lần, trong trường hợp bảo hiểm nhân thọ) để duy trì mức bảo hiểm ròng hợp lý mức phí bảo hiểm để tham khảo và gửi báo cáo về việc xác minh đã được xác minh cho Ủy ban Dịch vụ Tài chính trong vòng sáu tháng sau khi kết thúc mỗi năm tài chính. &lt;Được sửa đổi theo Nghị định số 20653 đề ngày 31 tháng 3 năm 2005&gt;</w:t>
      </w:r>
    </w:p>
    <w:p w:rsidR="00571C84" w:rsidRPr="008354C2" w:rsidRDefault="00571C84" w:rsidP="00571C84">
      <w:pPr>
        <w:spacing w:after="120"/>
        <w:jc w:val="both"/>
        <w:rPr>
          <w:rFonts w:ascii="Times New Roman" w:hAnsi="Times New Roman" w:cs="Times New Roman"/>
          <w:i/>
          <w:sz w:val="28"/>
        </w:rPr>
      </w:pP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88 (Cộng dồn và quản lý số liệu)</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Người đứng đầu cơ quan tính toán phí bảo hiểm phải thống nhất và tích lũy một cách có hệ thống số liệu thống kê kinh nghiệm của Công ty bảo hiểm để tính toán và xác minh mức phí bảo hiểm ròng và quản lý chi phí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Khi bất kỳ Công ty bảo hiểm nào được yêu cầu nộp dữ liệu cần thiết cho việc quản lý, v.v các số liệu thống kê theo khoản (1) từ người đứng đầu cơ quan tính toán phí bảo hiểm, thì phải tuân theo yêu cầu đó.</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Người đứng đầu cơ quan tính toán phí bảo hiểm có thể cung cấp cho người khác thông tin cá nhân được giữ lại sau khi được cung cấp theo Luật hoặc các hành vi khác:</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Trường hợp cần thiết cho việc ký kết hoặc duy trì hợp đồng bảo hiểm của bất kỳ Công ty bảo hiểm nào và đối với hoạt động thanh toán tiền bảo hiểm; và</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2. Trường hợp cần thiết cho việc chuyển nhượng hợp đồng bảo hiểm theo Luật hoặc các điều lệ cấp dưới.</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89 (Quy trình sử dụng và phạm vi thông tin cá nhân về vi phạm giao thông)</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Người đứng đầu tổ chức tính phí có thể yêu cầu người đứng đầu cơ quan nắm giữ thông tin cá nhân về vi phạm giao thông theo Điều 176 (9) và (12) của Luật để cung cấp thông tin cá nhân thuộc từng phần sau đây liên quan đến vi phạm giao thông (sau đây gọi tắt là “thông tin riêng về vi phạm giao thông”):</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Tên, số đăng ký cư trú và số giấy phép lái xe của người phạm tội giao thông; và</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Ngày và các hành vi vi phạm giao thông.</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Người đứng đầu tổ chức tính phí bảo hiểmtính mức phí bảo hiểm cho người phạm tội giao thông trên cơ sở thông tin riêng về tội phạm giao thông được quy định tại khoản (1) và có thể cung cấp cho người bảo hiểm, hoặc nhờ họ cung cấp các Công ty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Thông tin cá nhân đã được cung cấp cho người đứng đầu cơ quan tính toán phí bảo hiểm theo khoản (1) chỉ có thể được sử dụng cho các trường hợp thuộc một trong các đoạn sau: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Trường hợp Ủy ban Dịch vụ Tài chính và Giám đốc sử dụng Ủy ban giám sát tài chính để giám sát hoặc kiểm tra tính toán hoặc áp dụng mức phí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Trường hợp cơ quan tính toán phí bảo hiểm sử dụng nó để tính mức phí bảo hiểm; và</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3. Trường hợp Công ty bảo hiểm sử dụng để áp dụng mức phí bảo hiểm để ký kết, duy trì và quản lý hợp đồng bảo hiểm xe cơ gới.</w:t>
      </w:r>
    </w:p>
    <w:p w:rsidR="00571C84" w:rsidRPr="008354C2" w:rsidRDefault="00571C84" w:rsidP="00571C84">
      <w:pPr>
        <w:spacing w:after="120"/>
        <w:jc w:val="both"/>
        <w:rPr>
          <w:rFonts w:ascii="Times New Roman" w:hAnsi="Times New Roman" w:cs="Times New Roman"/>
          <w:i/>
          <w:sz w:val="28"/>
        </w:rPr>
      </w:pP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90 (Quy trình và phạm vi sử dụng số liệu thống kê liên quan đến bệnh tật)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Người đứng đầu tổ chức tính phí bảo hiểmcó thể yêu cầu người đứng đầu cơ quan lưu giữ các số liệu thống kê liên quan đến các bệnh theo Điều 176 (10) và (12) của Luật cung cấp dữ liệu theo từng đoạn sau (sau đây gọi tắt là là “dữ liệu thống kê về bệnh tật”):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Thống kê liên quan đến loại bệnh, giới tính, tuổi tác và nghề nghiệp của bệnh nhân, và các yếu tố khác như sự khởi bệnh, quá trình, kết quả và chi phí điều trị, v.v của các bệnh cần thiết để tính toán mức phí bảo hiểm; và</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Thống kê liên quan đến thực trạng quản lý các bệnh cần thiết để tính toán mức phí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Người đứng đầu tổ chức tính phí bảo hiểm tính mức phí bảo hiểm cho các bệnh trên cơ sở số liệu thống kê về các bệnh được cung cấp theo khoản (1) và có thể cung cấp cho Công ty bảo hiểm hoặc sẵn sàng cho các Công ty bảo hiểm truy cập.</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Thống kê liên quan đến bệnh đã được cung cấp cho người đứng đầu cơ quan tính toán phí bảo hiểm theo khoản (1) chỉ được sử dụng cho các trường hợp thuộc một trong các đoạn sau: &lt;Được sửa đổi theo Nghị định số 20653 đề ngày 31 tháng 3 năm 20059&gt;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Trường hợp Ủy ban Dịch vụ Tài chính và Chủ tịch Ủy ban giám sát tài chính sử dụng chúng để giám sát hoặc kiểm tra tính toán hoặc áp dụng mức phí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Trường hợp cơ quan tính toán phí bảo hiểm sử dụng chúng để tính mức phí bảo hiểm; và</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3. Trường hợp Công ty bảo hiểm sử dụng để áp dụng mức phí bảo hiểm để kết luận, duy trì và quản lý hợp đồng bảo hiểm tiền bảo chứng các bệnh liên quan.</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91 (Các phương pháp và quy trình cung cấp thông tin được lưu giữ bởi Cơ quan tính toán tỷ lệ phí bảo hiểm)</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Trường hợp cơ quan tính toán phí bảo hiểm đã cung cấp thông tin cá nhân được giữ lại cho những người khác theo Điều 176 (13) của Luật, nó sẽ ghi lại và quản lý những nội dung những gì thuộc việc việc cung cấp, thông tin được cung cấp, mục đích cung cấp và các vấn đề khác do Ủy ban Dịch vụ Tài chính xác định.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Cơ quan tính toán phí bảo hiểm phải xây dựng và vận hành các quy định cần thiết cho việc duy trì và kiểm soát bảo mật thông tin cá nhân được cung cấp theo Điều 89 (1) và 90 (1) và các thông tin khác được giữ lại.</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(3) Các vấn đề chi tiết liên quan đến những người chịu trách nhiệm về thông tin cá nhân được cơ quan tính toán phí bảo trì lưu giữ, và các quy trình và phương pháp sử dụng, v.v, sẽ được xác định bởi Ủy ban Dịch vụ Tài chính.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100 (Ủy thác  của Ủy ban Dịch vụ Tài chính)</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Ủy ban Dịch vụ Tài chính sẽ giao phó Giám đốc của Ủy ban giám sát tài chính doanh nghiệp trong Bảng 5 kèm theo, theo Điều 194 (3) của Luật.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Giám đốc của Ủy ban giám sát tài chính sẽ gửi báo cáo về các chi tiết về sự phân chia của các doanh nghiệp được ủy thác theo khoản (1) theo từng năm một lần với Ủy ban Dịch vụ Tài chính.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(3) Ủy ban Dịch vụ Tài chính có thể, theo Điều 194 (4) của Luật, giao cho người đứng đầu tổ chức tính phí bảo hiểm với doanh nghiệp liên quan đến việc nộp các chi tiết sửa đổi trong các tài liệu cơ bản theo Điều 71 (1) 2 và 3. &lt;Được sửa đổi theo Nghị định số 20653 đề ngày 31 tháng 3 năm 2005&gt;</w:t>
      </w:r>
    </w:p>
    <w:p w:rsidR="00A27303" w:rsidRPr="008354C2" w:rsidRDefault="00A27303" w:rsidP="00571C84">
      <w:pPr>
        <w:spacing w:after="120"/>
        <w:jc w:val="both"/>
        <w:rPr>
          <w:rFonts w:ascii="Times New Roman" w:hAnsi="Times New Roman" w:cs="Times New Roman"/>
          <w:i/>
          <w:sz w:val="28"/>
        </w:rPr>
      </w:pPr>
      <w:r w:rsidRPr="008354C2">
        <w:rPr>
          <w:rFonts w:ascii="Times New Roman" w:hAnsi="Times New Roman" w:cs="Times New Roman"/>
          <w:i/>
          <w:sz w:val="28"/>
        </w:rPr>
        <w:t>(4) Trường hợp Ủy ban Dịch vụ Tài chính đã giao cho người đứng đầu tổ chức tính phí bảo hiểm với doanh nghiệp theo khoản (3), thì sẽ công bố điều dó. &lt;Được sửa đổi theo Nghị định số 20653 đề ngày 31 tháng 3 năm 2005&gt;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Điều 101 (Ủy thác  của Chủ tịch Ủy ban giám sát tài chính)</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Giám đốc của Ủy ban giám sát tài chính sẽ, theo Điều 194 (5) của Luật, giao phó chủ tịch hiệp hội bảo hiểm với doanh nghiệp chấp nhận các vấn đề báo cáo thuộc từng đoạn sau đây:</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Các vấn đề liên quan đến bên cung cấp bảo hiểm trong số các đối tượng quy định tại Điều 93 (1) 1 đến 6 và 8 của Luật; và</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Các vấn đề liên quan đến đại lý bảo hiểm trong số những người được quy định tại Điều 93 (1) 1, 3 và 7 của Luật.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(2) Chủ tịch Ủy ban giám sát tài chính sẽ, theo Điều 194 (5) của Luật, giao cho người đứng đầu tổ chức tính phí bảo hiểm doanh nghiệp thuộc từng đoạn sau đây trong số các doanh nghiệp liên quan đến các thử nghiệm theo Điều 182 (1) ) và 186 (1) của Luật:</w:t>
      </w:r>
    </w:p>
    <w:p w:rsidR="00A27303" w:rsidRPr="008354C2" w:rsidRDefault="00A27303" w:rsidP="00571C84">
      <w:pPr>
        <w:spacing w:after="0"/>
        <w:jc w:val="both"/>
        <w:rPr>
          <w:rFonts w:ascii="Times New Roman" w:hAnsi="Times New Roman" w:cs="Times New Roman"/>
          <w:i/>
          <w:sz w:val="28"/>
        </w:rPr>
      </w:pPr>
      <w:r w:rsidRPr="008354C2">
        <w:rPr>
          <w:rFonts w:ascii="Times New Roman" w:hAnsi="Times New Roman" w:cs="Times New Roman"/>
          <w:i/>
          <w:sz w:val="28"/>
        </w:rPr>
        <w:t>1. Giao và nhận hồ sơ xin kiểm tra; và</w:t>
      </w:r>
    </w:p>
    <w:p w:rsidR="00A27303" w:rsidRPr="008354C2" w:rsidRDefault="00A27303" w:rsidP="00E0177C">
      <w:pPr>
        <w:spacing w:after="120"/>
        <w:jc w:val="both"/>
        <w:rPr>
          <w:rFonts w:ascii="Times New Roman" w:hAnsi="Times New Roman" w:cs="Times New Roman"/>
          <w:i/>
          <w:sz w:val="28"/>
        </w:rPr>
      </w:pPr>
      <w:r w:rsidRPr="008354C2">
        <w:rPr>
          <w:rFonts w:ascii="Times New Roman" w:hAnsi="Times New Roman" w:cs="Times New Roman"/>
          <w:i/>
          <w:sz w:val="28"/>
        </w:rPr>
        <w:t>2. Thi hành việc kiểm tra và các công việ</w:t>
      </w:r>
      <w:r w:rsidR="00E0177C" w:rsidRPr="008354C2">
        <w:rPr>
          <w:rFonts w:ascii="Times New Roman" w:hAnsi="Times New Roman" w:cs="Times New Roman"/>
          <w:i/>
          <w:sz w:val="28"/>
        </w:rPr>
        <w:t>c phát sinh.</w:t>
      </w:r>
    </w:p>
    <w:p w:rsidR="00A27303" w:rsidRPr="008354C2" w:rsidRDefault="00E0177C" w:rsidP="00A27303">
      <w:pPr>
        <w:spacing w:after="120"/>
        <w:jc w:val="both"/>
        <w:rPr>
          <w:rFonts w:ascii="Times New Roman" w:hAnsi="Times New Roman" w:cs="Times New Roman"/>
          <w:sz w:val="28"/>
        </w:rPr>
      </w:pPr>
      <w:r w:rsidRPr="008354C2">
        <w:rPr>
          <w:rFonts w:ascii="Times New Roman" w:hAnsi="Times New Roman" w:cs="Times New Roman"/>
          <w:sz w:val="28"/>
        </w:rPr>
        <w:t xml:space="preserve">- </w:t>
      </w:r>
      <w:r w:rsidR="00A27303" w:rsidRPr="008354C2">
        <w:rPr>
          <w:rFonts w:ascii="Times New Roman" w:hAnsi="Times New Roman" w:cs="Times New Roman"/>
          <w:sz w:val="28"/>
        </w:rPr>
        <w:t>Trên cơ sở quy định của pháp luật, hệ thống CSDL bảo hiểm của Hàn Quốc hiện được triển khai tại Viện Phát triển bảo hiểm Hàn Quốc (KIDI) như sau:</w:t>
      </w:r>
    </w:p>
    <w:p w:rsidR="00A27303" w:rsidRPr="008354C2" w:rsidRDefault="00A27303" w:rsidP="00A27303">
      <w:pPr>
        <w:spacing w:after="120"/>
        <w:jc w:val="both"/>
        <w:rPr>
          <w:rFonts w:ascii="Times New Roman" w:hAnsi="Times New Roman" w:cs="Times New Roman"/>
          <w:sz w:val="28"/>
        </w:rPr>
      </w:pPr>
      <w:r w:rsidRPr="008354C2">
        <w:rPr>
          <w:rFonts w:ascii="Times New Roman" w:hAnsi="Times New Roman" w:cs="Times New Roman"/>
          <w:sz w:val="28"/>
        </w:rPr>
        <w:t>Viện Phát triển bảo hiểm Hàn Quốc (KIDI) được thành lập vào năm 1983 với mục đích thu thập và sử dụng dữ liệu bảo hiểm tài sản và thiệt hại (P&amp;C). Ban đầu, KIDI thu thập dữ liệu của các dòng sản phẩm chính như bảo hiểm ô tô (bao gồm cả bảo hiểm trách nhiệm dân sự bắt buộc); bảo hiểm hỏa hoạn và bảo hiểm hàng hải. Mục đích chính của việc thu thập dữ liệu từ các công ty bảo hiểm là để hình thành một CSDL, từ đó ngành công nghiệp bảo hiểm có thể áp dụng Luật số lớn để tính toán.</w:t>
      </w:r>
    </w:p>
    <w:p w:rsidR="00A27303" w:rsidRPr="008354C2" w:rsidRDefault="00A27303" w:rsidP="00A27303">
      <w:pPr>
        <w:spacing w:after="120"/>
        <w:jc w:val="both"/>
        <w:rPr>
          <w:rFonts w:ascii="Times New Roman" w:hAnsi="Times New Roman" w:cs="Times New Roman"/>
          <w:sz w:val="28"/>
        </w:rPr>
      </w:pPr>
      <w:r w:rsidRPr="008354C2">
        <w:rPr>
          <w:rFonts w:ascii="Times New Roman" w:hAnsi="Times New Roman" w:cs="Times New Roman"/>
          <w:sz w:val="28"/>
        </w:rPr>
        <w:t>Trong những năm đầu tiên, số liệu thống kê chỉ được thu thập bằng các biểu mẫu đơn giản, giới hạn với một số sản phẩm bảo hiểm như đã đề cập ở trên. Sau đó, khi lượng dữ liệu tăng lên, KIDI đã đẩy mạnh áp dụng công nghệ để có thể thu thập dữ liệu theo từng trường hợp. Số lượng các dòng sản phẩm bảo hiểm được thu thập cũng được mở rộng, bao gồm bảo hiểm bồi thường người lao động, bảo hiểm kỹ thuật, bảo hiểm trách nhiệm, bảo hiểm toàn diện… Cùng với đó, thông qua việc đổi mới hệ thống thông tin vào năm 1998, số liệu thống kê do máy tính xử lý đã được tiêu chuẩn hóa.</w:t>
      </w:r>
    </w:p>
    <w:p w:rsidR="00A27303" w:rsidRPr="008354C2" w:rsidRDefault="00A27303" w:rsidP="00A27303">
      <w:pPr>
        <w:spacing w:after="120"/>
        <w:jc w:val="both"/>
        <w:rPr>
          <w:rFonts w:ascii="Times New Roman" w:hAnsi="Times New Roman" w:cs="Times New Roman"/>
          <w:sz w:val="28"/>
        </w:rPr>
      </w:pPr>
      <w:r w:rsidRPr="008354C2">
        <w:rPr>
          <w:rFonts w:ascii="Times New Roman" w:hAnsi="Times New Roman" w:cs="Times New Roman"/>
          <w:sz w:val="28"/>
        </w:rPr>
        <w:t>Cơ sở pháp lý để KIDI thiết lập một CSDL cho việc định phí và phân tích thống kê là Luật Kinh doanh bảo hiểm Hàn Quốc. Luật này đặt cơ sở cho việc giám sát hoạt động kinh doanh của các công ty bảo hiểm và quy định vai trò của các cơ quan liên quan, trong đó có KIDI. Theo Khoản 3, Điều 176 của luật này, KIDI có thể thu thập và cung cấp thông tin liên quan đến bảo hiểm và tổng hợp số liệu thống kê. Ngoài ra, theo Khoản 5 của điều này, KIDI có quyền tích hợp và tổng hợp một cách có hệ thống các số liệu thống kê liên quan đến bảo hiểm cho các hoạt động được định nghĩa trong luật này và có thể yêu cầu dữ liệu từ các công ty bảo hiểm khi cần thiết.  Có thể thấy, các cơ quan với chức năng thu thập số liệu thống kê tương tự như KIDI ở các nước phát triển như Hoa Kỳ và Nhật Bản. Ở Hoa Kỳ là Văn phòng Dịch vụ bảo hiểm (ISO) có nhiệm vụ tổ chức thống kê và định giá, giúp đặt nền móng cho Luật Bảo hiểm Hoa Kỳ. Tương tự, Nhật Bản có Tổ chức định phí bảo hiểm phi nhân thọ, gọi tắt là GIRO.</w:t>
      </w:r>
    </w:p>
    <w:p w:rsidR="003C72C0" w:rsidRPr="008354C2" w:rsidRDefault="00A27303" w:rsidP="00A27303">
      <w:pPr>
        <w:spacing w:after="120"/>
        <w:jc w:val="both"/>
        <w:rPr>
          <w:rFonts w:ascii="Times New Roman" w:hAnsi="Times New Roman" w:cs="Times New Roman"/>
          <w:sz w:val="28"/>
        </w:rPr>
      </w:pPr>
      <w:r w:rsidRPr="008354C2">
        <w:rPr>
          <w:rFonts w:ascii="Times New Roman" w:hAnsi="Times New Roman" w:cs="Times New Roman"/>
          <w:sz w:val="28"/>
        </w:rPr>
        <w:t>KIDI bắt đầu thu thập dữ liệu thô về bảo hiểm ô tô từ năm 1985. Dữ liệu thô của các dòng bảo hiểm tài sản và tổn thất được thu thập từ năm 1987. Ngày nay, dữ liệu bảo hiểm ô tô được phân thành hai loại: hợp đồng và yêu cầu bồi thường, được thu thập hàng tháng; tương tự đối với bảo hiểm hỏa hoạn. Dữ liệu bảo hiểm hàng hải được chia thành dữ liệu bảo hiểm thân tàu và dữ liệu bảo hiểm hàng hóa, các dòng sản phẩm này cũng được thu thập dữ liệu hàng tháng, tách biệt giữa hợp đồng và yêu cầu bồi thường. Trong bảo hiểm tai nạn, nhiều loại dữ liệu khác nhau cùng được tổng hợp, ví dụ như bảo hiểm tai nạn nói chung và bảo hiểm du lịch nước ngoài. Ngoài ra, đối tượng thu thập dữ liệu còn có bảo hiểm bồi thường cho người lao động, bảo hiểm kỹ thuật, bảo hiểm trách nhiệm, bảo hiểm toàn diện và bảo hiểm trộm cắp… (bảng 1).</w:t>
      </w:r>
    </w:p>
    <w:p w:rsidR="00E0177C" w:rsidRPr="008354C2" w:rsidRDefault="00E0177C" w:rsidP="00A27303">
      <w:pPr>
        <w:spacing w:after="120"/>
        <w:jc w:val="both"/>
        <w:rPr>
          <w:rFonts w:ascii="Times New Roman" w:hAnsi="Times New Roman" w:cs="Times New Roman"/>
          <w:sz w:val="28"/>
        </w:rPr>
      </w:pPr>
    </w:p>
    <w:p w:rsidR="00E0177C" w:rsidRPr="008354C2" w:rsidRDefault="00E0177C" w:rsidP="00A27303">
      <w:pPr>
        <w:spacing w:after="120"/>
        <w:jc w:val="both"/>
        <w:rPr>
          <w:rFonts w:ascii="Times New Roman" w:hAnsi="Times New Roman" w:cs="Times New Roman"/>
          <w:sz w:val="28"/>
        </w:rPr>
      </w:pPr>
    </w:p>
    <w:p w:rsidR="00E0177C" w:rsidRPr="008354C2" w:rsidRDefault="00E0177C" w:rsidP="00E0177C">
      <w:pPr>
        <w:spacing w:after="160" w:line="240" w:lineRule="atLeast"/>
        <w:jc w:val="center"/>
        <w:rPr>
          <w:rFonts w:ascii="Times New Roman" w:eastAsia="Franklin Gothic Medium Cond" w:hAnsi="Times New Roman" w:cs="Times New Roman"/>
          <w:b/>
          <w:bCs/>
          <w:i/>
          <w:sz w:val="28"/>
          <w:szCs w:val="24"/>
        </w:rPr>
      </w:pPr>
      <w:r w:rsidRPr="008354C2">
        <w:rPr>
          <w:rFonts w:ascii="Times New Roman" w:eastAsia="Franklin Gothic Medium Cond" w:hAnsi="Times New Roman" w:cs="Times New Roman"/>
          <w:b/>
          <w:bCs/>
          <w:i/>
          <w:sz w:val="28"/>
          <w:szCs w:val="24"/>
        </w:rPr>
        <w:t>Bảng 1. Hiện trạng CSDL bảo hiểm tài sản và thiệt hại (P&amp;C) của Hàn Quốc</w:t>
      </w:r>
    </w:p>
    <w:tbl>
      <w:tblPr>
        <w:tblStyle w:val="TableNormal1"/>
        <w:tblW w:w="9048" w:type="dxa"/>
        <w:tblInd w:w="108" w:type="dxa"/>
        <w:tblBorders>
          <w:top w:val="single" w:sz="2" w:space="0" w:color="000000"/>
          <w:bottom w:val="single" w:sz="12" w:space="0" w:color="000000"/>
          <w:insideH w:val="dotted" w:sz="4" w:space="0" w:color="auto"/>
        </w:tblBorders>
        <w:tblLayout w:type="fixed"/>
        <w:tblLook w:val="04A0"/>
      </w:tblPr>
      <w:tblGrid>
        <w:gridCol w:w="3676"/>
        <w:gridCol w:w="5372"/>
      </w:tblGrid>
      <w:tr w:rsidR="00E0177C" w:rsidRPr="008354C2" w:rsidTr="001C16F2">
        <w:trPr>
          <w:trHeight w:val="58"/>
        </w:trPr>
        <w:tc>
          <w:tcPr>
            <w:tcW w:w="3677" w:type="dxa"/>
            <w:tcBorders>
              <w:top w:val="single" w:sz="2" w:space="0" w:color="000000"/>
              <w:bottom w:val="dotted" w:sz="4" w:space="0" w:color="auto"/>
            </w:tcBorders>
            <w:shd w:val="clear" w:color="auto" w:fill="D9D9D9" w:themeFill="background1" w:themeFillShade="D9"/>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b/>
                <w:i/>
                <w:sz w:val="28"/>
                <w:szCs w:val="24"/>
                <w:u w:color="000000"/>
              </w:rPr>
            </w:pPr>
            <w:r w:rsidRPr="008354C2">
              <w:rPr>
                <w:rFonts w:eastAsia="한양신명조"/>
                <w:b/>
                <w:i/>
                <w:sz w:val="28"/>
                <w:szCs w:val="24"/>
                <w:u w:color="000000"/>
              </w:rPr>
              <w:t>Bảo hiểm</w:t>
            </w:r>
          </w:p>
        </w:tc>
        <w:tc>
          <w:tcPr>
            <w:tcW w:w="5374" w:type="dxa"/>
            <w:tcBorders>
              <w:top w:val="single" w:sz="2" w:space="0" w:color="000000"/>
              <w:bottom w:val="dotted" w:sz="4" w:space="0" w:color="auto"/>
            </w:tcBorders>
            <w:shd w:val="clear" w:color="auto" w:fill="D9D9D9" w:themeFill="background1" w:themeFillShade="D9"/>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b/>
                <w:i/>
                <w:sz w:val="28"/>
                <w:szCs w:val="24"/>
                <w:u w:color="000000"/>
              </w:rPr>
            </w:pPr>
            <w:r w:rsidRPr="008354C2">
              <w:rPr>
                <w:rFonts w:eastAsia="한양신명조"/>
                <w:b/>
                <w:i/>
                <w:sz w:val="28"/>
                <w:szCs w:val="24"/>
                <w:u w:color="000000"/>
              </w:rPr>
              <w:t>Phân loại</w:t>
            </w:r>
          </w:p>
        </w:tc>
      </w:tr>
      <w:tr w:rsidR="00E0177C" w:rsidRPr="008354C2" w:rsidTr="001C16F2">
        <w:trPr>
          <w:trHeight w:val="266"/>
        </w:trPr>
        <w:tc>
          <w:tcPr>
            <w:tcW w:w="3677" w:type="dxa"/>
            <w:tcBorders>
              <w:top w:val="dotted" w:sz="4" w:space="0" w:color="auto"/>
            </w:tcBorders>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Hỏa hoạn</w:t>
            </w:r>
          </w:p>
        </w:tc>
        <w:tc>
          <w:tcPr>
            <w:tcW w:w="5374" w:type="dxa"/>
            <w:tcBorders>
              <w:top w:val="dotted" w:sz="4" w:space="0" w:color="auto"/>
            </w:tcBorders>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Nhà ở, nhà máy, khác</w:t>
            </w:r>
          </w:p>
        </w:tc>
      </w:tr>
      <w:tr w:rsidR="00E0177C" w:rsidRPr="008354C2" w:rsidTr="001C16F2">
        <w:trPr>
          <w:trHeight w:val="223"/>
        </w:trPr>
        <w:tc>
          <w:tcPr>
            <w:tcW w:w="3677"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Hàng hải</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Thân tàu, hàng hóa</w:t>
            </w:r>
          </w:p>
        </w:tc>
      </w:tr>
      <w:tr w:rsidR="00E0177C" w:rsidRPr="008354C2" w:rsidTr="001C16F2">
        <w:trPr>
          <w:trHeight w:val="223"/>
        </w:trPr>
        <w:tc>
          <w:tcPr>
            <w:tcW w:w="3677"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Ô tô</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Tất cả các loại ô tô</w:t>
            </w:r>
          </w:p>
        </w:tc>
      </w:tr>
      <w:tr w:rsidR="00E0177C" w:rsidRPr="008354C2" w:rsidTr="001C16F2">
        <w:trPr>
          <w:trHeight w:val="223"/>
        </w:trPr>
        <w:tc>
          <w:tcPr>
            <w:tcW w:w="3677" w:type="dxa"/>
            <w:tcMar>
              <w:top w:w="80" w:type="dxa"/>
              <w:left w:w="80" w:type="dxa"/>
              <w:bottom w:w="80" w:type="dxa"/>
              <w:right w:w="80" w:type="dxa"/>
            </w:tcMar>
            <w:vAlign w:val="center"/>
            <w:hideMark/>
          </w:tcPr>
          <w:p w:rsidR="00E0177C" w:rsidRPr="008354C2" w:rsidRDefault="00E0177C" w:rsidP="00E0177C">
            <w:pPr>
              <w:widowControl w:val="0"/>
              <w:autoSpaceDE w:val="0"/>
              <w:autoSpaceDN w:val="0"/>
              <w:spacing w:before="120" w:line="240" w:lineRule="atLeast"/>
              <w:ind w:left="161"/>
              <w:rPr>
                <w:i/>
                <w:sz w:val="28"/>
                <w:szCs w:val="24"/>
              </w:rPr>
            </w:pPr>
            <w:r w:rsidRPr="008354C2">
              <w:rPr>
                <w:i/>
                <w:sz w:val="28"/>
                <w:szCs w:val="24"/>
              </w:rPr>
              <w:t>Kỹ thuật</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Máy móc, lắp ráp, kiến trúc, điện tử</w:t>
            </w:r>
          </w:p>
        </w:tc>
      </w:tr>
      <w:tr w:rsidR="00E0177C" w:rsidRPr="008354C2" w:rsidTr="001C16F2">
        <w:trPr>
          <w:trHeight w:val="225"/>
        </w:trPr>
        <w:tc>
          <w:tcPr>
            <w:tcW w:w="3677" w:type="dxa"/>
            <w:tcMar>
              <w:top w:w="80" w:type="dxa"/>
              <w:left w:w="80" w:type="dxa"/>
              <w:bottom w:w="80" w:type="dxa"/>
              <w:right w:w="80" w:type="dxa"/>
            </w:tcMar>
            <w:vAlign w:val="center"/>
            <w:hideMark/>
          </w:tcPr>
          <w:p w:rsidR="00E0177C" w:rsidRPr="008354C2" w:rsidRDefault="00E0177C" w:rsidP="00E0177C">
            <w:pPr>
              <w:widowControl w:val="0"/>
              <w:autoSpaceDE w:val="0"/>
              <w:autoSpaceDN w:val="0"/>
              <w:spacing w:before="120" w:line="240" w:lineRule="atLeast"/>
              <w:ind w:left="161"/>
              <w:rPr>
                <w:i/>
                <w:sz w:val="28"/>
                <w:szCs w:val="24"/>
              </w:rPr>
            </w:pPr>
            <w:r w:rsidRPr="008354C2">
              <w:rPr>
                <w:i/>
                <w:sz w:val="28"/>
                <w:szCs w:val="24"/>
              </w:rPr>
              <w:t xml:space="preserve">Bồi thường người lao động </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Trong/ngoài nước, thủy thủ, đào tạo nghề</w:t>
            </w:r>
          </w:p>
        </w:tc>
      </w:tr>
      <w:tr w:rsidR="00E0177C" w:rsidRPr="008354C2" w:rsidTr="001C16F2">
        <w:trPr>
          <w:trHeight w:val="223"/>
        </w:trPr>
        <w:tc>
          <w:tcPr>
            <w:tcW w:w="3677" w:type="dxa"/>
            <w:tcMar>
              <w:top w:w="80" w:type="dxa"/>
              <w:left w:w="80" w:type="dxa"/>
              <w:bottom w:w="80" w:type="dxa"/>
              <w:right w:w="80" w:type="dxa"/>
            </w:tcMar>
            <w:vAlign w:val="center"/>
            <w:hideMark/>
          </w:tcPr>
          <w:p w:rsidR="00E0177C" w:rsidRPr="008354C2" w:rsidRDefault="00E0177C" w:rsidP="00E0177C">
            <w:pPr>
              <w:widowControl w:val="0"/>
              <w:autoSpaceDE w:val="0"/>
              <w:autoSpaceDN w:val="0"/>
              <w:spacing w:before="120" w:line="240" w:lineRule="atLeast"/>
              <w:ind w:left="161"/>
              <w:rPr>
                <w:i/>
                <w:sz w:val="28"/>
                <w:szCs w:val="24"/>
              </w:rPr>
            </w:pPr>
            <w:r w:rsidRPr="008354C2">
              <w:rPr>
                <w:i/>
                <w:sz w:val="28"/>
                <w:szCs w:val="24"/>
              </w:rPr>
              <w:t>Trách nhiệm</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Trách nhiệm thương mại, trách nhiệm sản phẩm...</w:t>
            </w:r>
          </w:p>
        </w:tc>
      </w:tr>
      <w:tr w:rsidR="00E0177C" w:rsidRPr="008354C2" w:rsidTr="001C16F2">
        <w:trPr>
          <w:trHeight w:val="223"/>
        </w:trPr>
        <w:tc>
          <w:tcPr>
            <w:tcW w:w="3677" w:type="dxa"/>
            <w:tcMar>
              <w:top w:w="80" w:type="dxa"/>
              <w:left w:w="80" w:type="dxa"/>
              <w:bottom w:w="80" w:type="dxa"/>
              <w:right w:w="80" w:type="dxa"/>
            </w:tcMar>
            <w:vAlign w:val="center"/>
            <w:hideMark/>
          </w:tcPr>
          <w:p w:rsidR="00E0177C" w:rsidRPr="008354C2" w:rsidRDefault="00E0177C" w:rsidP="00411CD3">
            <w:pPr>
              <w:widowControl w:val="0"/>
              <w:autoSpaceDE w:val="0"/>
              <w:autoSpaceDN w:val="0"/>
              <w:spacing w:before="120" w:line="240" w:lineRule="atLeast"/>
              <w:ind w:left="161"/>
              <w:rPr>
                <w:i/>
                <w:sz w:val="28"/>
                <w:szCs w:val="24"/>
              </w:rPr>
            </w:pPr>
            <w:r w:rsidRPr="008354C2">
              <w:rPr>
                <w:i/>
                <w:sz w:val="28"/>
                <w:szCs w:val="24"/>
              </w:rPr>
              <w:t>Tai nạn</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Chung, toàn cầu, an toàn cho sinh viên</w:t>
            </w:r>
          </w:p>
        </w:tc>
      </w:tr>
      <w:tr w:rsidR="00E0177C" w:rsidRPr="008354C2" w:rsidTr="001C16F2">
        <w:trPr>
          <w:trHeight w:val="63"/>
        </w:trPr>
        <w:tc>
          <w:tcPr>
            <w:tcW w:w="3677" w:type="dxa"/>
            <w:tcMar>
              <w:top w:w="80" w:type="dxa"/>
              <w:left w:w="80" w:type="dxa"/>
              <w:bottom w:w="80" w:type="dxa"/>
              <w:right w:w="80" w:type="dxa"/>
            </w:tcMar>
            <w:vAlign w:val="center"/>
            <w:hideMark/>
          </w:tcPr>
          <w:p w:rsidR="00E0177C" w:rsidRPr="008354C2" w:rsidRDefault="00E0177C" w:rsidP="00E0177C">
            <w:pPr>
              <w:widowControl w:val="0"/>
              <w:autoSpaceDE w:val="0"/>
              <w:autoSpaceDN w:val="0"/>
              <w:spacing w:before="120" w:line="240" w:lineRule="atLeast"/>
              <w:ind w:left="161"/>
              <w:rPr>
                <w:i/>
                <w:sz w:val="28"/>
                <w:szCs w:val="24"/>
              </w:rPr>
            </w:pPr>
            <w:r w:rsidRPr="008354C2">
              <w:rPr>
                <w:i/>
                <w:sz w:val="28"/>
                <w:szCs w:val="24"/>
              </w:rPr>
              <w:t>Toàn diện</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Bảo hiểm động sản nội địa</w:t>
            </w:r>
          </w:p>
        </w:tc>
      </w:tr>
      <w:tr w:rsidR="00E0177C" w:rsidRPr="008354C2" w:rsidTr="001C16F2">
        <w:trPr>
          <w:trHeight w:val="22"/>
        </w:trPr>
        <w:tc>
          <w:tcPr>
            <w:tcW w:w="3677"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Khác</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Trộm cắp, thiệt hại do bão và lũ lụt</w:t>
            </w:r>
          </w:p>
        </w:tc>
      </w:tr>
      <w:tr w:rsidR="00E0177C" w:rsidRPr="008354C2" w:rsidTr="001C16F2">
        <w:trPr>
          <w:trHeight w:val="182"/>
        </w:trPr>
        <w:tc>
          <w:tcPr>
            <w:tcW w:w="3677"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Dài hạn</w:t>
            </w:r>
          </w:p>
        </w:tc>
        <w:tc>
          <w:tcPr>
            <w:tcW w:w="5374" w:type="dxa"/>
            <w:tcMar>
              <w:top w:w="80" w:type="dxa"/>
              <w:left w:w="80" w:type="dxa"/>
              <w:bottom w:w="80" w:type="dxa"/>
              <w:right w:w="80" w:type="dxa"/>
            </w:tcMar>
            <w:vAlign w:val="center"/>
            <w:hideMark/>
          </w:tcPr>
          <w:p w:rsidR="00E0177C" w:rsidRPr="008354C2" w:rsidRDefault="00E0177C" w:rsidP="00E0177C">
            <w:pPr>
              <w:spacing w:line="240" w:lineRule="atLeast"/>
              <w:jc w:val="both"/>
              <w:rPr>
                <w:rFonts w:eastAsia="한양신명조"/>
                <w:i/>
                <w:sz w:val="28"/>
                <w:szCs w:val="24"/>
                <w:u w:color="000000"/>
              </w:rPr>
            </w:pPr>
            <w:r w:rsidRPr="008354C2">
              <w:rPr>
                <w:rFonts w:eastAsia="한양신명조"/>
                <w:i/>
                <w:sz w:val="28"/>
                <w:szCs w:val="24"/>
                <w:u w:color="000000"/>
              </w:rPr>
              <w:t>Tất cả bảo hiểm dài hạn</w:t>
            </w:r>
          </w:p>
        </w:tc>
      </w:tr>
    </w:tbl>
    <w:p w:rsidR="00E0177C" w:rsidRPr="008354C2" w:rsidRDefault="00E0177C" w:rsidP="00E0177C">
      <w:pPr>
        <w:spacing w:after="160" w:line="240" w:lineRule="atLeast"/>
        <w:jc w:val="center"/>
        <w:rPr>
          <w:rFonts w:ascii="Times New Roman" w:eastAsia="Book Antiqua" w:hAnsi="Times New Roman" w:cs="Times New Roman"/>
          <w:i/>
          <w:sz w:val="28"/>
          <w:szCs w:val="24"/>
        </w:rPr>
      </w:pP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Ban đầu, KIDI thu thập dữ liệu từ các công ty bảo hiểm bằng các biểu mẫu đơn giản và lưu trữ trên các đĩa từ. Sau đó, phương pháp thu thập liên tục được phát triển. Ngày nay, Hàn Quốc sử dụng mạng nội bộ chuyên dụng INTAS (Information transmission automatic service - Dịch vụ truyền thông tin tự động) làm phương thức để trao đổi thông tin. Mạng nội bộ giúp ngăn chặn rò rỉ thông tin, tăng cường bảo mật, giảm chi phí và thời gian gửi dữ liệu so với mạng thông thường. Do đó, sự xuất hiện của INTAS (hình 1) đã cải thiện đáng kể hiệu quả hoạt động của KIDI.</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Khi một công ty bảo hiểm sử dụng INTAS để gửi dữ liệu, KIDI phải thực hiện kiểm tra lỗi để xác định xem nên nhận hay trả lại dữ liệu. Đầu tiên KIDI sẽ thực hiện tìm kiếm lỗi vật lý cơ bản và tiếp đó, tìm kiếm lỗi logic bằng cách thực hiện kiểm tra phạm vi, kiểm tra chéo, kiểm tra số dư... Sau khi KIDI xác định chấp nhận dữ liệu, dữ liệu được ghi vào hệ thống CSDL trong KIDI (gồm CSDL và kho dữ liệu - Data warehouse), được sử dụng trong định phí bảo hiểm và phân tích thống kê.</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CSDL được phân loại theo dòng sản phẩm bảo hiểm và được sử dụng để tính toán, xác minh phí bảo hiểm và quản lý chi phí sản phẩm bảo hiểm. Ngoài ra, CSDL còn có tác dụng tham khảo cho việc thẩm định khi các công ty bảo hiểm lập hợp đồng hay làm dữ liệu chứng minh để kiểm tra các khoản thanh toán bồi thường. CSDL cũng là nền tảng để các cơ quan chính sách và thể chế giám sát đưa ra các quyết định chính trị và cải tiến hệ thống khi cần thiết.</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KIDI sử dụng CSDL nêu trên để đưa ra nhiều loại số liệu thống kê liên quan đến hoạt động kinh doanh, phân loại rủi ro, định phí bảo hiểm... Bằng cách kết nối các công ty bảo hiểm với mạng thông tin bảo hiểm, KIDI cung cấp dữ liệu giúp các công ty này phân tích dữ liệu yêu cầu bồi thường, thông tin xếp hạng khách hàng, đánh giá rủi ro kết hợp, thậm chí cả lập hợp đồng bảo hiểm.</w:t>
      </w:r>
    </w:p>
    <w:p w:rsidR="00E0177C"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KIDI sử dụng dữ liệu thu thập được để hỗ trợ quản lý yêu cầu thẩm định của các công ty bảo hiểm. Dữ liệu hợp đồng bảo hiểm và yêu cầu bồi thường được cung cấp để kiểm tra xem một người có hợp đồng bảo hiểm kép với cùng phạm vi bảo hiểm hay không và liệu người đó có gây ra nhiều vụ tai nạn để gian lận hay không. Ngoài ra, thông qua các phương pháp ngăn ngừa gian lận bảo hiểm như phân tích chi phí y tế tại các cơ sở y tế hoặc các phương pháp phát hiện gian lận trong Hệ thống tổng hợp yêu cầu bảo hiểm (Insurance claims pooling system - ICPS), KIDI hỗ trợ các chuyên viên quản lý yêu cầu bồi thường của công ty bảo hiểm để tìm ra gian lận một cách hiệu quả.</w:t>
      </w:r>
    </w:p>
    <w:p w:rsidR="00411CD3" w:rsidRPr="008354C2" w:rsidRDefault="00411CD3" w:rsidP="00411CD3">
      <w:pPr>
        <w:spacing w:after="120"/>
        <w:jc w:val="both"/>
        <w:rPr>
          <w:rFonts w:ascii="Times New Roman" w:hAnsi="Times New Roman" w:cs="Times New Roman"/>
          <w:b/>
          <w:sz w:val="28"/>
        </w:rPr>
      </w:pPr>
      <w:r w:rsidRPr="008354C2">
        <w:rPr>
          <w:rFonts w:ascii="Times New Roman" w:hAnsi="Times New Roman" w:cs="Times New Roman"/>
          <w:b/>
          <w:sz w:val="28"/>
        </w:rPr>
        <w:t>2.5. Mỹ</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xml:space="preserve">Tại Mỹ, việc đưa ra các tiêu chuẩn, quy chuẩn về sản phẩm bảo hiểm và việc triển khai so sánh, tính phí bảo hiểm trực tuyến của Hiệp hội quốc gia các nhà quản lý bảo hiểm (NAIC) cũng là kinh nghiệm quý. NAIC là một tổ chức được tạo lập và vận hành bởi các lãnh đạo cơ quan bảo hiểm các bang từ 50 bang, quận Columbia và 5 vùng lãnh thổ của Mỹ, tự ban hành các chuẩn mực và tự tổ chức hoạt động. </w:t>
      </w:r>
      <w:r w:rsidR="004A0FC6" w:rsidRPr="008354C2">
        <w:rPr>
          <w:rFonts w:ascii="Times New Roman" w:hAnsi="Times New Roman" w:cs="Times New Roman"/>
          <w:sz w:val="28"/>
        </w:rPr>
        <w:t>T</w:t>
      </w:r>
      <w:r w:rsidRPr="008354C2">
        <w:rPr>
          <w:rFonts w:ascii="Times New Roman" w:hAnsi="Times New Roman" w:cs="Times New Roman"/>
          <w:sz w:val="28"/>
        </w:rPr>
        <w:t>hông qua NAIC, các cơ quan quản lý bảo hiểm nhà nước thiết lập các tiêu chuẩn và thực tiễn tốt nhất, tiến hành đánh giá ngang hàng và phối hợp giám sát quy định của họ. Nhân viên NAIC ủng hộ những nỗ lực này và thể hiện quan điểm chung của các cơ quan quản lý nhà nước trong nước và quốc tế. Các thành viên NAIC, cùng với các nguồn lực trung tâm của NAIC, tạo thành hệ thống quốc gia về quy định bảo hiểm nhà nước ở Hoa Kỳ. NAIC hoạt động như một diễn đàn để tạo ra các luật và quy định mẫu. Mỗi bang quyết định có thông qua từng luật hoặc quy định theo mô hình NAIC hay không và mỗi bang có thể thực hiện các thay đổi trong quá trình ban hành, nhưng các mô hình này vẫn được thông qua rộng rãi, mặc dù hơi bất thường. NAIC cũng hoạt động ở cấp quốc gia để thúc đẩy các luật và chính sách được hỗ trợ bởi các cơ quan quản lý bảo hiểm nhà nước. NAIC không phải là cơ quan quản lý; trong khi các thành viên của nó là các ủy viên bảo hiểm (tức là các cơ quan quản lý bảo hiểm chính) của mỗi tiểu bang và sáu vùng lãnh thổ của Hoa Kỳ, NAIC là một tổ chức phi chính phủ tự quan tâm đến các vấn đề quy định về bảo hiểm nhưng không thực sự điều chỉnh bắt buộc. Các bang đã không giao quyền quản lý của họ cho NAIC. Mặc dù nhiệm vụ của NAIC là mang lại lợi ích cho các cơ quan quản lý nhà nước và người tiêu dùng bảo hiểm bằng cách thúc đẩy các luật và quy định thống nhất, bằng cách thúc đẩy sự thống nhất của quy định giữa các bang. Nhờ đó NAIC giúp các công ty bảo hiểm dễ dàng tuân thủ luật và quy định ở tất cả các bang mà họ thực hiện. kinh doanh.</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xml:space="preserve">NAIC tổ chức hệ thống hướng dẫn định phí và lọc phí điện tử (SERFF) cho phép người dùng trực tiếp truy cập để lọc và lựa chọn mức phí phù hợp qua hệ thống này. Các biểu mẫu đệ trình, tài liệu và quyền truy cập qua mạng này cho phép đẩy nhanh tốc độ gia nhập thị trường đối với các sản phẩm mới và sản phẩm đang đổi mới, đồng thời đảm bảo tuân thủ các yêu cầu bảo vệ người tiêu dùng. SERFF được quản lý như một sản phẩm của NAIC, quản lý giám sát bở Nhóm công tác Tốc độ tới thị trường (EX) trong các Ủy ban của NAIC. Nhiệm vụ của Nhóm công tác Tốc độ đến Thị trường (EX) là 1) đóng vai trò là đầu mối NAIC trong việc hiện đại hóa quy trình nộp đơn và xem xét sản phẩm bảo hiểm; 2) giám sát việc phát triển và thực hiện tốc độ đạt hiệu quả thị trường và Hệ thống nộp đơn và biểu mẫu điện tử (SERFF); và 3) cung cấp hỗ trợ cho Ủy ban Quy định Sản phẩm Bảo hiểm Liên tiểu bang (IIPRC) đối với các sáng kiến yêu cầu sự đồng nhất và thay đổi chính sách trong các tiểu bang, khi cần thiết. SERFF có được sự tư vấn của Ban cố vấn SERFF từ tháng 8 năm 2013 với tư cách là người kế nhiệm Ban SERFF ban đầu (được thành lập vào năm 1998). Ban cố vấn SERFF là một nhóm tự nguyện, được thành lập bởi Ủy ban điều hành NAIC (EX), bao gồm cơ quan quản lý, ngành bảo hiểm và người tiêu dùng những người đại diện. </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Điều đáng lưu ý nữa trong hoạt động của NAIC liên quan đến định phí và xây dựng sản phẩm bảo hiểm tại Mỹ là NAIC thiết lập Ủy ban Quy định Sản phẩm Bảo hiểm Liên tiểu bang phục vụ các cơ quan quản lý bảo hiểm, người tiêu dùng và nhà cung cấp bằng cách nâng cao hiệu quả và hiệu lực trong thị trường bảo hiểm luôn thay đổi. Ủy ban Quy định Sản phẩm Bảo hiểm Liên bang là một tổ chức thúc đẩy các tiêu chuẩn cho các sản phẩm bảo hiểm nhân thọ tại Hoa Kỳ. Ủy ban Quy định Sản phẩm BH Liên bang có các hoạt động tiêu chuẩn hóa, thống nhất quy tắc sản phẩm trên toàn Hoa Kỳ rất đáng chú ý học tập. Ủy ban có nhiều quyền hạn cụ thể liên quan đến xác lập tiêu chuẩn cho sản phẩm bảo hiểm, cụ thể như sau:</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Ban hành các Quy tắc mà theo Điều VII của Hiệp ước này, sẽ có hiệu lực pháp luật và sẽ ràng buộc tại các bang thành viên theo phạm vi và cách thức được quy định trong Hiệp ước này;</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xml:space="preserve">- Thực hiện quyền ra quy tắc sản phẩm của mình và thiết lập các Tiêu chuẩn thống nhất hợp lý cho các Sản phẩm được bảo hiểm theo Hiệp định  và các quảng cáo liên quan đến Hiệp định này, sẽ có hiệu lực pháp luật và sẽ có giá trị ràng buộc ở các bang thành viên, nhưng chỉ đối với những Sản phẩm được nộp cho Ủy ban. Mọi tiêu chuẩn thống nhất được thành lập bởi Ủy ban cho các sản phẩm bảo hiểm chăm sóc dài hạn có thể cung cấp các sản phẩm tương tự hoặc lớn hơn các biện pháp bảo vệ cho người tiêu dùng, nhưng sẽ không cung cấp ít hơn những biện pháp bảo vệ được quy định trong Đạo luật Quốc gia về Mô hình Bảo hiểm Chăm sóc Dài hạn và Chăm sóc Dài hạn của Hiệp hội các Ủy viên Bảo hiểm Quy định, tương ứng, đã được thông qua kể từ năm 2001. </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Nhận và xem xét một cách nhanh chóng Sản phẩm được nộp cho Ủy ban và đánh giá hồ</w:t>
      </w:r>
      <w:r w:rsidR="00617C24" w:rsidRPr="008354C2">
        <w:rPr>
          <w:rFonts w:ascii="Times New Roman" w:hAnsi="Times New Roman" w:cs="Times New Roman"/>
          <w:sz w:val="28"/>
        </w:rPr>
        <w:t xml:space="preserve"> sơ</w:t>
      </w:r>
      <w:r w:rsidRPr="008354C2">
        <w:rPr>
          <w:rFonts w:ascii="Times New Roman" w:hAnsi="Times New Roman" w:cs="Times New Roman"/>
          <w:sz w:val="28"/>
        </w:rPr>
        <w:t>, đồng thời phê duyệt các Sản phẩm đó và xếp hạng hồ sơ thỏa mãn Tiêu chuẩn thống nhất hiện hành, trong đó sự chấp thuậ</w:t>
      </w:r>
      <w:r w:rsidR="00617C24" w:rsidRPr="008354C2">
        <w:rPr>
          <w:rFonts w:ascii="Times New Roman" w:hAnsi="Times New Roman" w:cs="Times New Roman"/>
          <w:sz w:val="28"/>
        </w:rPr>
        <w:t>n</w:t>
      </w:r>
      <w:r w:rsidRPr="008354C2">
        <w:rPr>
          <w:rFonts w:ascii="Times New Roman" w:hAnsi="Times New Roman" w:cs="Times New Roman"/>
          <w:sz w:val="28"/>
        </w:rPr>
        <w:t xml:space="preserve"> sẽ có hiệu lực </w:t>
      </w:r>
      <w:r w:rsidR="00617C24" w:rsidRPr="008354C2">
        <w:rPr>
          <w:rFonts w:ascii="Times New Roman" w:hAnsi="Times New Roman" w:cs="Times New Roman"/>
          <w:sz w:val="28"/>
        </w:rPr>
        <w:t xml:space="preserve">theo pháp </w:t>
      </w:r>
      <w:r w:rsidRPr="008354C2">
        <w:rPr>
          <w:rFonts w:ascii="Times New Roman" w:hAnsi="Times New Roman" w:cs="Times New Roman"/>
          <w:sz w:val="28"/>
        </w:rPr>
        <w:t>luật và ràng buộc đối với các bang thành viên trong phạm vi và theo cách thức được quy định trong Hiệp ước;</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Nhận và xem xét một cách nhanh chóng quảng cáo liên quan đến bảo hiểm chăm sóc dài hạn các sản phẩm mà Tiêu chuẩn thống nhất đã được Ủy ban thông qua và chấp thuận đáp ứng Tiêu chuẩn thống nhất hiện hành. Đối với bất kỳ sản phẩm nào bao gồm trong bản Compact này, ngoài các sản phẩm bảo hiểm chăm sóc dài hạn, Ủy ban sẽ có quyền yêu cầu công ty bảo hiểm gửi tất cả hoặc bất kỳ phần nào của Quảng cáo liên quan đến sản phẩm đó để được xem xét hoặc phê duyệt trước khi sử dụng. Các hành động của Ủy ban như được cung cấp trong phần này sẽ có hiệu lực và hiệu lực của luật pháp sẽ ràng buộc ở các bang thành viên trong phạm vi và cách thức được cung cấp trong Thỏa thuận;</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Ban hành các Quy trình Hoạt động, có hiệu lực ràng buộc trong Các Quốc gia Hiệp ước trong phạm vi và theo cách thức được quy định trong Hiệp ước này;</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Để thực thi sự tuân thủ của các Quốc gia có quy tắc, Tiêu chuẩn thống nhất, Quy trình hoạt động và Nội quy; Cung cấp giải pháp giải quyết tranh chấp giữa các Quốc gia thành viên;</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Tư vấn cho các bang thành viên về các vấn đề liên quan đến Công ty bảo hiểm cư trú hoặc hoạt động kinh doanh trong lĩnh vực Không liên kết các khu vực pháp lý, phù hợp với các mục đích của Hiệp ước này;</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xml:space="preserve">- Cung cấp lời khuyên và đào tạo cho những nhân viên trong bộ phận bảo hiểm nhà nước chịu trách nhiệm về </w:t>
      </w:r>
      <w:r w:rsidR="00617C24" w:rsidRPr="008354C2">
        <w:rPr>
          <w:rFonts w:ascii="Times New Roman" w:hAnsi="Times New Roman" w:cs="Times New Roman"/>
          <w:sz w:val="28"/>
        </w:rPr>
        <w:t xml:space="preserve">xem xét </w:t>
      </w:r>
      <w:r w:rsidRPr="008354C2">
        <w:rPr>
          <w:rFonts w:ascii="Times New Roman" w:hAnsi="Times New Roman" w:cs="Times New Roman"/>
          <w:sz w:val="28"/>
        </w:rPr>
        <w:t>sản phẩ</w:t>
      </w:r>
      <w:r w:rsidR="00617C24" w:rsidRPr="008354C2">
        <w:rPr>
          <w:rFonts w:ascii="Times New Roman" w:hAnsi="Times New Roman" w:cs="Times New Roman"/>
          <w:sz w:val="28"/>
        </w:rPr>
        <w:t>m</w:t>
      </w:r>
      <w:r w:rsidRPr="008354C2">
        <w:rPr>
          <w:rFonts w:ascii="Times New Roman" w:hAnsi="Times New Roman" w:cs="Times New Roman"/>
          <w:sz w:val="28"/>
        </w:rPr>
        <w:t>, và là một nguồn lực cho các cơ quan bảo hiểm nhà nước;</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xml:space="preserve">- Chỉ định các ủy ban, bao gồm các ủy ban tư vấn bao gồm các Thành viên, cơ quan quản lý bảo hiểm nhà nước, các nhà lập pháp tiểu bang hoặc đại diện của họ, đại diện ngành bảo hiểm và người tiêu dùng, và những </w:t>
      </w:r>
      <w:r w:rsidR="00617C24" w:rsidRPr="008354C2">
        <w:rPr>
          <w:rFonts w:ascii="Times New Roman" w:hAnsi="Times New Roman" w:cs="Times New Roman"/>
          <w:sz w:val="28"/>
        </w:rPr>
        <w:t>n</w:t>
      </w:r>
      <w:r w:rsidRPr="008354C2">
        <w:rPr>
          <w:rFonts w:ascii="Times New Roman" w:hAnsi="Times New Roman" w:cs="Times New Roman"/>
          <w:sz w:val="28"/>
        </w:rPr>
        <w:t>gười quan tâm có thể được chỉ định trong Quy chế;</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Cung cấp và nhận thông tin từ và hợp tác với các cơ quan thực thi pháp luật;</w:t>
      </w:r>
    </w:p>
    <w:p w:rsidR="00411CD3" w:rsidRPr="008354C2" w:rsidRDefault="00411CD3" w:rsidP="00411CD3">
      <w:pPr>
        <w:spacing w:after="120"/>
        <w:jc w:val="both"/>
        <w:rPr>
          <w:rFonts w:ascii="Times New Roman" w:hAnsi="Times New Roman" w:cs="Times New Roman"/>
          <w:sz w:val="28"/>
        </w:rPr>
      </w:pPr>
      <w:r w:rsidRPr="008354C2">
        <w:rPr>
          <w:rFonts w:ascii="Times New Roman" w:hAnsi="Times New Roman" w:cs="Times New Roman"/>
          <w:sz w:val="28"/>
        </w:rPr>
        <w:t>- Thông qua và sử dụng con dấu của công ty; Các Luật Mẫu, Quy định, Hướng dẫn và các Tài nguyên khác của NAIC — tháng 7 năm 2003 (2003 Hiệp hội các Ủy viên Bảo hiểm Quố</w:t>
      </w:r>
      <w:r w:rsidR="00617C24" w:rsidRPr="008354C2">
        <w:rPr>
          <w:rFonts w:ascii="Times New Roman" w:hAnsi="Times New Roman" w:cs="Times New Roman"/>
          <w:sz w:val="28"/>
        </w:rPr>
        <w:t>c gia 692-5).</w:t>
      </w:r>
    </w:p>
    <w:p w:rsidR="008D42EC" w:rsidRPr="008354C2" w:rsidRDefault="008D42EC"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Default="008D42EC" w:rsidP="00411CD3">
      <w:pPr>
        <w:spacing w:after="120"/>
        <w:jc w:val="both"/>
        <w:rPr>
          <w:rFonts w:ascii="Times New Roman" w:hAnsi="Times New Roman" w:cs="Times New Roman"/>
          <w:sz w:val="28"/>
        </w:rPr>
      </w:pPr>
    </w:p>
    <w:p w:rsidR="005F2600" w:rsidRPr="008354C2" w:rsidRDefault="005F2600"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Pr="008354C2" w:rsidRDefault="008D42EC" w:rsidP="00411CD3">
      <w:pPr>
        <w:spacing w:after="120"/>
        <w:jc w:val="both"/>
        <w:rPr>
          <w:rFonts w:ascii="Times New Roman" w:hAnsi="Times New Roman" w:cs="Times New Roman"/>
          <w:sz w:val="28"/>
        </w:rPr>
      </w:pPr>
    </w:p>
    <w:p w:rsidR="008D42EC" w:rsidRPr="008354C2" w:rsidRDefault="00431943" w:rsidP="008D42EC">
      <w:pPr>
        <w:tabs>
          <w:tab w:val="left" w:pos="880"/>
          <w:tab w:val="right" w:leader="dot" w:pos="9170"/>
        </w:tabs>
        <w:spacing w:before="120" w:after="120"/>
        <w:jc w:val="center"/>
        <w:rPr>
          <w:rFonts w:ascii="Times New Roman" w:eastAsia="Arial" w:hAnsi="Times New Roman" w:cs="Times New Roman"/>
          <w:b/>
          <w:noProof/>
          <w:sz w:val="28"/>
          <w:szCs w:val="28"/>
        </w:rPr>
      </w:pPr>
      <w:hyperlink w:anchor="_Toc1551661" w:history="1">
        <w:r w:rsidR="008D42EC" w:rsidRPr="008354C2">
          <w:rPr>
            <w:rFonts w:ascii="Times New Roman" w:eastAsia="Arial" w:hAnsi="Times New Roman" w:cs="Times New Roman"/>
            <w:b/>
            <w:noProof/>
            <w:sz w:val="28"/>
            <w:szCs w:val="28"/>
          </w:rPr>
          <w:t>VI.</w:t>
        </w:r>
        <w:r w:rsidR="008D42EC" w:rsidRPr="008354C2">
          <w:rPr>
            <w:rFonts w:ascii="Times New Roman" w:eastAsia="Times New Roman" w:hAnsi="Times New Roman" w:cs="Times New Roman"/>
            <w:noProof/>
            <w:sz w:val="28"/>
            <w:szCs w:val="28"/>
          </w:rPr>
          <w:t xml:space="preserve"> </w:t>
        </w:r>
        <w:r w:rsidR="008D42EC" w:rsidRPr="008354C2">
          <w:rPr>
            <w:rFonts w:ascii="Times New Roman" w:eastAsia="Arial" w:hAnsi="Times New Roman" w:cs="Times New Roman"/>
            <w:b/>
            <w:noProof/>
            <w:sz w:val="28"/>
            <w:szCs w:val="28"/>
          </w:rPr>
          <w:t>CHÍNH SÁCH 6: HOÀN THIỆN CÁC QUY ĐỊNH VỀ BẢO ĐẢM AN TOÀN, ĐỀ PHÒNG HẠN CHẾ TỔN THẤT, PHÒNG NGỪA GIAN LẬN BẢO HIỂM, NÂNG CAO HIỆU QUẢ GIẢI QUYẾT TRANH CHẤP</w:t>
        </w:r>
      </w:hyperlink>
    </w:p>
    <w:p w:rsidR="008D42EC" w:rsidRPr="008354C2" w:rsidRDefault="008D42EC" w:rsidP="008D42EC">
      <w:pPr>
        <w:tabs>
          <w:tab w:val="left" w:pos="880"/>
          <w:tab w:val="right" w:leader="dot" w:pos="9170"/>
        </w:tabs>
        <w:spacing w:before="120" w:after="120"/>
        <w:jc w:val="both"/>
        <w:rPr>
          <w:rFonts w:ascii="Times New Roman" w:eastAsia="Arial" w:hAnsi="Times New Roman" w:cs="Times New Roman"/>
          <w:b/>
          <w:noProof/>
          <w:sz w:val="28"/>
          <w:szCs w:val="28"/>
        </w:rPr>
      </w:pPr>
      <w:r w:rsidRPr="008354C2">
        <w:rPr>
          <w:rFonts w:ascii="Times New Roman" w:eastAsia="Arial" w:hAnsi="Times New Roman" w:cs="Times New Roman"/>
          <w:b/>
          <w:noProof/>
          <w:sz w:val="28"/>
          <w:szCs w:val="28"/>
        </w:rPr>
        <w:t>1. Quy định về đề phòng hạn chế tổn thất</w:t>
      </w:r>
    </w:p>
    <w:p w:rsidR="008D42EC" w:rsidRPr="008354C2" w:rsidRDefault="008D42EC" w:rsidP="008D42EC">
      <w:pPr>
        <w:spacing w:before="120" w:after="1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Trên bình diện quốc tế, trong quy định về giảm thiểu tổn thất thì người được bảo hiểm phải luôn cố gắng hết sức để giảm thiểu tổn thất tài sản được bảo hiểm của mình. Người được bảo hiểm phải thực hiện tất cả các biện pháp có thể và các bước cần thiết để kiểm soát và giảm thiểu tổn thất. Người được bảo hiểm không được lơ là và cư xử thiếu trách nhiệm trong các sự kiện tổn thất chỉ vì tài sản đã được bảo hiểm. Do đó, người được bảo hiểm có trách nhiệm bảo vệ tài sản được bảo hiểm của mình và tránh những tổn thất về sau. Cụ thể như sau:</w:t>
      </w:r>
    </w:p>
    <w:p w:rsidR="008D42EC" w:rsidRPr="008354C2" w:rsidRDefault="008D42EC" w:rsidP="008D42EC">
      <w:pPr>
        <w:spacing w:before="120" w:after="12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1.1. Đức</w:t>
      </w:r>
    </w:p>
    <w:p w:rsidR="008D42EC" w:rsidRPr="008354C2" w:rsidRDefault="008D42EC" w:rsidP="008D42EC">
      <w:pPr>
        <w:spacing w:before="120" w:after="120"/>
        <w:jc w:val="both"/>
        <w:rPr>
          <w:rFonts w:ascii="Times New Roman" w:eastAsia="Calibri" w:hAnsi="Times New Roman" w:cs="Times New Roman"/>
          <w:sz w:val="28"/>
          <w:szCs w:val="28"/>
        </w:rPr>
      </w:pPr>
      <w:r w:rsidRPr="008354C2">
        <w:rPr>
          <w:rFonts w:ascii="Times New Roman" w:eastAsia="Calibri" w:hAnsi="Times New Roman" w:cs="Times New Roman"/>
          <w:i/>
          <w:sz w:val="28"/>
          <w:szCs w:val="28"/>
        </w:rPr>
        <w:t>Điều 82</w:t>
      </w:r>
      <w:r w:rsidRPr="008354C2">
        <w:rPr>
          <w:rFonts w:ascii="Times New Roman" w:eastAsia="Calibri" w:hAnsi="Times New Roman" w:cs="Times New Roman"/>
          <w:sz w:val="28"/>
          <w:szCs w:val="28"/>
        </w:rPr>
        <w:t xml:space="preserve"> của Luật Bảo hiểm Đức (VVG) quy định về việc tránh và giảm thiểu tổn thất như sau :</w:t>
      </w:r>
    </w:p>
    <w:p w:rsidR="008D42EC" w:rsidRPr="008354C2" w:rsidRDefault="008D42EC" w:rsidP="008D42EC">
      <w:pPr>
        <w:spacing w:before="120" w:after="120"/>
        <w:jc w:val="both"/>
        <w:rPr>
          <w:rFonts w:ascii="Times New Roman" w:eastAsia="Calibri" w:hAnsi="Times New Roman" w:cs="Times New Roman"/>
          <w:i/>
          <w:sz w:val="28"/>
          <w:szCs w:val="28"/>
        </w:rPr>
      </w:pPr>
      <w:r w:rsidRPr="008354C2">
        <w:rPr>
          <w:rFonts w:ascii="Times New Roman" w:eastAsia="Calibri" w:hAnsi="Times New Roman" w:cs="Times New Roman"/>
          <w:i/>
          <w:sz w:val="28"/>
          <w:szCs w:val="28"/>
        </w:rPr>
        <w:t>(1) Khi xảy ra sự kiện bảo hiểm, bên mua bảo hiểm phải đảm bảo tránh được hoặc giảm thiểu tổn thất nếu có thể.</w:t>
      </w:r>
    </w:p>
    <w:p w:rsidR="008D42EC" w:rsidRPr="008354C2" w:rsidRDefault="008D42EC" w:rsidP="008D42EC">
      <w:pPr>
        <w:spacing w:before="120" w:after="120"/>
        <w:jc w:val="both"/>
        <w:rPr>
          <w:rFonts w:ascii="Times New Roman" w:eastAsia="Calibri" w:hAnsi="Times New Roman" w:cs="Times New Roman"/>
          <w:i/>
          <w:sz w:val="28"/>
          <w:szCs w:val="28"/>
        </w:rPr>
      </w:pPr>
      <w:r w:rsidRPr="008354C2">
        <w:rPr>
          <w:rFonts w:ascii="Times New Roman" w:eastAsia="Calibri" w:hAnsi="Times New Roman" w:cs="Times New Roman"/>
          <w:i/>
          <w:sz w:val="28"/>
          <w:szCs w:val="28"/>
        </w:rPr>
        <w:t>(2) Bên mua bảo hiểm phải tuân theo các hướng dẫn của công ty bảo hiểm, nếu hợp lý, và có được các hướng dẫn, trong trường hợp cho phép. Nếu một số doanh nghiệp bảo hiểm có liên quan trong hợp đồng bảo hiểm đưa ra các hướng dẫn khác nhau thì bên mua bảo hiểm phải hành động theo quyết định riêng của mình.</w:t>
      </w:r>
    </w:p>
    <w:p w:rsidR="008D42EC" w:rsidRPr="008354C2" w:rsidRDefault="008D42EC" w:rsidP="008D42EC">
      <w:pPr>
        <w:spacing w:before="120" w:after="120"/>
        <w:jc w:val="both"/>
        <w:rPr>
          <w:rFonts w:ascii="Times New Roman" w:eastAsia="Calibri" w:hAnsi="Times New Roman" w:cs="Times New Roman"/>
          <w:i/>
          <w:sz w:val="28"/>
          <w:szCs w:val="28"/>
        </w:rPr>
      </w:pPr>
      <w:r w:rsidRPr="008354C2">
        <w:rPr>
          <w:rFonts w:ascii="Times New Roman" w:eastAsia="Calibri" w:hAnsi="Times New Roman" w:cs="Times New Roman"/>
          <w:i/>
          <w:sz w:val="28"/>
          <w:szCs w:val="28"/>
        </w:rPr>
        <w:t>(3) Trong trường hợp vi phạm nghĩa vụ phát sinh theo các tiểu mục (1) và (2), công ty bảo hiểm sẽ không có nghĩa vụ thanh toán nếu bên mua bảo hiểm cố tình vi phạm nghĩa vụ phát sinh. Trong trường hợp xảy ra vi phạm nghiêm trọng do sơ suất, công ty bảo hiểm có quyền giảm các quyền lợi phải trả tương ứng với mức độ lỗi nghiêm trọng của bên mua bảo hiểm ; trách nhiệm chứng minh rằng không có sơ suất nghiêm trọng nào thuộc về bên mua bảo hiểm.</w:t>
      </w:r>
    </w:p>
    <w:p w:rsidR="008D42EC" w:rsidRPr="008354C2" w:rsidRDefault="008D42EC" w:rsidP="008D42EC">
      <w:pPr>
        <w:spacing w:before="120" w:after="120"/>
        <w:jc w:val="both"/>
        <w:rPr>
          <w:rFonts w:ascii="Times New Roman" w:eastAsia="Calibri" w:hAnsi="Times New Roman" w:cs="Times New Roman"/>
          <w:i/>
          <w:sz w:val="28"/>
          <w:szCs w:val="28"/>
        </w:rPr>
      </w:pPr>
      <w:r w:rsidRPr="008354C2">
        <w:rPr>
          <w:rFonts w:ascii="Times New Roman" w:eastAsia="Calibri" w:hAnsi="Times New Roman" w:cs="Times New Roman"/>
          <w:i/>
          <w:sz w:val="28"/>
          <w:szCs w:val="28"/>
        </w:rPr>
        <w:t>(4) Bất kể tiểu mục (3), công ty bảo hiểm sẽ phải chịu trách nhiệm trong chừng mực việc vi phạm nghĩa vụ ngẫu nhiên không phải là nguyên nhân dẫn đến việc xảy ra sự kiện được bảo hiểm cũng như không xác định mức độ trách nhiệm. Câu đầu tiên sẽ không áp dụng nếu bên mua bảo hiểm đã gian dối vi phạm nghĩa vụ.</w:t>
      </w:r>
    </w:p>
    <w:p w:rsidR="008D42EC" w:rsidRPr="008354C2" w:rsidRDefault="008D42EC" w:rsidP="008D42EC">
      <w:pPr>
        <w:spacing w:before="120" w:after="120"/>
        <w:jc w:val="both"/>
        <w:rPr>
          <w:rFonts w:ascii="Times New Roman" w:eastAsia="Calibri" w:hAnsi="Times New Roman" w:cs="Times New Roman"/>
          <w:sz w:val="28"/>
          <w:szCs w:val="28"/>
        </w:rPr>
      </w:pPr>
      <w:r w:rsidRPr="008354C2">
        <w:rPr>
          <w:rFonts w:ascii="Times New Roman" w:eastAsia="Calibri" w:hAnsi="Times New Roman" w:cs="Times New Roman"/>
          <w:sz w:val="28"/>
          <w:szCs w:val="28"/>
        </w:rPr>
        <w:t>Điều 83 quy định cho phép bồi hoàn chi phí đề phòng, hạn chế tổn thất như sau:</w:t>
      </w:r>
    </w:p>
    <w:p w:rsidR="008D42EC" w:rsidRPr="008354C2" w:rsidRDefault="008D42EC" w:rsidP="008D42EC">
      <w:pPr>
        <w:spacing w:before="120" w:after="120"/>
        <w:jc w:val="both"/>
        <w:rPr>
          <w:rFonts w:ascii="Times New Roman" w:eastAsia="Calibri" w:hAnsi="Times New Roman" w:cs="Times New Roman"/>
          <w:i/>
          <w:sz w:val="28"/>
          <w:szCs w:val="28"/>
        </w:rPr>
      </w:pPr>
      <w:r w:rsidRPr="008354C2">
        <w:rPr>
          <w:rFonts w:ascii="Times New Roman" w:eastAsia="Calibri" w:hAnsi="Times New Roman" w:cs="Times New Roman"/>
          <w:i/>
          <w:sz w:val="28"/>
          <w:szCs w:val="28"/>
        </w:rPr>
        <w:t>(1) Công ty bảo hiểm phải bồi hoàn chi phí của chủ hợp đồng bảo hiểm theo Điều 82 (1) và (2) cả khi chúng chưa hoàn thành, trong phạm vi mà bên giữ bảo hiểm có thể xem là cần thiết dựa trên các tình huống. Theo yêu cầu của chủ hợp đồng bảo hiểm, công ty bảo hiểm phải ứng trước số tiền chi phí cần thiết.</w:t>
      </w:r>
    </w:p>
    <w:p w:rsidR="008D42EC" w:rsidRPr="008354C2" w:rsidRDefault="008D42EC" w:rsidP="008D42EC">
      <w:pPr>
        <w:spacing w:before="120" w:after="120"/>
        <w:jc w:val="both"/>
        <w:rPr>
          <w:rFonts w:ascii="Times New Roman" w:eastAsia="Calibri" w:hAnsi="Times New Roman" w:cs="Times New Roman"/>
          <w:i/>
          <w:sz w:val="28"/>
          <w:szCs w:val="28"/>
        </w:rPr>
      </w:pPr>
      <w:r w:rsidRPr="008354C2">
        <w:rPr>
          <w:rFonts w:ascii="Times New Roman" w:eastAsia="Calibri" w:hAnsi="Times New Roman" w:cs="Times New Roman"/>
          <w:i/>
          <w:sz w:val="28"/>
          <w:szCs w:val="28"/>
        </w:rPr>
        <w:t>(2) Nếu công ty bảo hiểm có quyền giảm quyền lợi phải chi trả, thì bên này có thể giảm số tiền chi phí được hoàn trả theo tiểu mục (1) tương ứng.</w:t>
      </w:r>
    </w:p>
    <w:p w:rsidR="008D42EC" w:rsidRPr="008354C2" w:rsidRDefault="008D42EC" w:rsidP="008D42EC">
      <w:pPr>
        <w:spacing w:before="120" w:after="120"/>
        <w:jc w:val="both"/>
        <w:rPr>
          <w:rFonts w:ascii="Times New Roman" w:eastAsia="Calibri" w:hAnsi="Times New Roman" w:cs="Times New Roman"/>
          <w:i/>
          <w:sz w:val="28"/>
          <w:szCs w:val="28"/>
        </w:rPr>
      </w:pPr>
      <w:r w:rsidRPr="008354C2">
        <w:rPr>
          <w:rFonts w:ascii="Times New Roman" w:eastAsia="Calibri" w:hAnsi="Times New Roman" w:cs="Times New Roman"/>
          <w:i/>
          <w:sz w:val="28"/>
          <w:szCs w:val="28"/>
        </w:rPr>
        <w:t>(3) Các chi phí phát sinh cho chủ hợp đồng bảo hiểm do làm theo chỉ dẫn của công ty bảo hiểm cũng sẽ được hoàn trả trong phạm vi vượt quá tổng số tiền được bảo hiểm, cùng với các bồi thường khác.</w:t>
      </w:r>
    </w:p>
    <w:p w:rsidR="008D42EC" w:rsidRPr="008354C2" w:rsidRDefault="008D42EC" w:rsidP="008D42EC">
      <w:pPr>
        <w:spacing w:before="120" w:after="120"/>
        <w:jc w:val="both"/>
        <w:rPr>
          <w:rFonts w:ascii="Times New Roman" w:eastAsia="Calibri" w:hAnsi="Times New Roman" w:cs="Times New Roman"/>
          <w:i/>
          <w:sz w:val="28"/>
          <w:szCs w:val="28"/>
        </w:rPr>
      </w:pPr>
      <w:r w:rsidRPr="008354C2">
        <w:rPr>
          <w:rFonts w:ascii="Times New Roman" w:eastAsia="Calibri" w:hAnsi="Times New Roman" w:cs="Times New Roman"/>
          <w:i/>
          <w:sz w:val="28"/>
          <w:szCs w:val="28"/>
        </w:rPr>
        <w:t>(4) Trong trường hợp bảo hiểm chăn nuôi, chi phí thắc ăn và duy trì chăn nuôi cũng như chi phí khám và điều trị thú y không được phân loại là chi phí được công ty bảo hiểm bồi hoàn theo tiểu mục (1) – (3).</w:t>
      </w:r>
    </w:p>
    <w:p w:rsidR="008D42EC" w:rsidRPr="008354C2" w:rsidRDefault="00B42BE3" w:rsidP="008D42EC">
      <w:pPr>
        <w:spacing w:before="120" w:after="120"/>
        <w:jc w:val="both"/>
        <w:rPr>
          <w:rFonts w:ascii="Times New Roman" w:eastAsia="Calibri" w:hAnsi="Times New Roman" w:cs="Times New Roman"/>
          <w:b/>
          <w:sz w:val="28"/>
          <w:szCs w:val="28"/>
        </w:rPr>
      </w:pPr>
      <w:r w:rsidRPr="008354C2">
        <w:rPr>
          <w:rFonts w:ascii="Times New Roman" w:eastAsia="Calibri" w:hAnsi="Times New Roman" w:cs="Times New Roman"/>
          <w:b/>
          <w:sz w:val="28"/>
          <w:szCs w:val="28"/>
        </w:rPr>
        <w:t>1.2. Anh</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rPr>
        <w:t xml:space="preserve">Trong luật của Anh, quy định về giảm thiểu tổn thất được hiểu là người được bảo hiểm phải hành động như thể họ là người không được bảo hiểm, điều này phản ánh bất kỳ nghĩa vụ giảm thiểu bồi thường nào. </w:t>
      </w:r>
      <w:r w:rsidRPr="008354C2">
        <w:rPr>
          <w:rFonts w:ascii="Times New Roman" w:eastAsia="Calibri" w:hAnsi="Times New Roman" w:cs="Times New Roman"/>
          <w:sz w:val="28"/>
          <w:szCs w:val="28"/>
          <w:lang w:val="vi-VN"/>
        </w:rPr>
        <w:t>Tuy nhiên, điều này sẽ đặt ra quy định quá cao để phân loại khía cạnh này như một nghĩa vụ. Nếu đó là một nghĩa vụ, công ty bảo hiểm sẽ có lý do dẫn đến chế tài, mà rõ ràng là không nên. Quy định này chỉ đơn thuần là để phòng ngừa. Tuy nhiên, nếu người được bảo hiểm hoàn toàn tự do hành động theo ý muốn, doanh nghiệp bảo hiểm có thể không phải chịu trách nhiệm về mọi tổn thất mà người được bảo hiểm phải gánh chịu do hậu quả của hành động đó. Trên thực tế, vị thế của người yêu cầu bồi thường tương tự như vị thế của người bị giảm thiệt hại do sơ suất đóng góp của họ. Nghĩa vụ là một hệ quả của nguyên tắc rằng những tổn thất có thể tránh được một cách hợp lý sẽ không thể thu hồi được. Hợp đồng cũng có thể quy định rằng người được bảo hiểm phải giảm nhẹ mọi tổn thất. Dù bằng cách nào, trong điều kiện thực tế, nghĩa vụ giảm nhẹ theo nghĩa là việc không thực hiện nghĩa vụ này có thể ảnh hưởng về mặt tài chính đối với người được bảo hiểm.</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Nghĩa vụ giảm thiểu tổn thất quy định rằng người được bảo hiểm phải thực hiện tất cả các bước hợp lý để ngăn chặn hoặc giảm thiểu tổn thất của mình và phải tránh thực hiện các bước không hợp lý có thể làm tăng tổn thất. Đó là việc suy nghĩ hợp lý về việc bảo quản tài sản của chính mình, nếu không có bồi thường từ công ty bảo hiểm.</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1.3. Trung Quốc</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Ở Trung Quốc, nguyên tắc này được quy định tại Điều 57 như sau:</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Khi xảy ra sự cố thuộc phạm vi bảo hiểm, người được bảo hiểm phải thực hiện mọi biện pháp cần thiết để ngăn ngừa hoặc giảm thiểu tổn thất hoặc thiệt hại.</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Doanh nghiệp bảo hiểm phải chịu mọi chi phí cần thiết và hợp lý mà người được bảo hiểm phải chịu sau khi xảy ra sự cố thuộc phạm vi bảo hiểm để thực hiện các biện pháp ngăn ngừa, giảm thiểu tổn thất, thiệt hại của đối tượng được bảo hiểm. Khoản chi phí do doanh nghiệp bảo hiểm chịu sẽ được tính riêng với khoản bồi thường tổn thất đối tượng được bảo hiểm và không vượt quá số tiền bảo hiểm.</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1.4. Châu Âu</w:t>
      </w:r>
      <w:r w:rsidR="00B42BE3" w:rsidRPr="008354C2">
        <w:rPr>
          <w:rFonts w:ascii="Times New Roman" w:eastAsia="Calibri" w:hAnsi="Times New Roman" w:cs="Times New Roman"/>
          <w:b/>
          <w:sz w:val="28"/>
          <w:szCs w:val="28"/>
          <w:lang w:val="vi-VN"/>
        </w:rPr>
        <w:t> </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Luật Hợp đồng bảo hiểm Châu Âu có các quy định về đề phòng, hạn chế tổn thất như sau</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Điều 9:102 Chi phí giảm thiểu</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(1) Công ty bảo hiểm sẽ bồi hoàn các chi phí phát sinh hoặc số tiền thiệt hại của chủ hợp đồng hoặc người được bảo hiểm trong việc thực hiện các biện pháp để giảm thiểu tổn thất được bảo hiểm, trong phạm vi chủ hợp đồng bảo hiểm hay người được bảo hiểm được đánh giá là đã thực hiện các biện pháp hợp lý trong hoàn cảnh cụ thể, ngay cả khi họ không thành công trong việc giảm thiểu sự tổn thất.</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(2) Công ty bảo hiểm sẽ bồi thường cho chủ hợp đồng bảo hiểm, người được bảo hiểm, trong trường hợp có thể, đối với bất kỳ biện pháp nào được thực hiện phù hợp với khoản 1, ngay cả khi cùng thực hiện với việc bồi thường cho các tổn thất được bảo hiểm, số tiền phải trả vượt quá số tiền được bảo hiểm.</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2. Quy định phòng ngừa, hạn chế đối với các hành vi gian lận trong kinh doanh bảo hiểm</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2.1. Trung Quốc</w:t>
      </w:r>
      <w:r w:rsidR="00B42BE3" w:rsidRPr="008354C2">
        <w:rPr>
          <w:rFonts w:ascii="Times New Roman" w:eastAsia="Calibri" w:hAnsi="Times New Roman" w:cs="Times New Roman"/>
          <w:b/>
          <w:sz w:val="28"/>
          <w:szCs w:val="28"/>
          <w:lang w:val="vi-VN"/>
        </w:rPr>
        <w:t> </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Điều 174 Luật bảo hiểm Trung Quốc quy định như sau:</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Một chủ hợp đồng bảo hiểm, người được bảo hiểm hoặc người hưởng thụ vi phạm bất kỳ hành vi nào sau đây nhằm mục đích gian lận bảo hiểm sẽ bị xử phạt hành chính nếu khi hành vi không cấu thành tội phạm:</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 xml:space="preserve">1) cố ý giả mạo chủ hợp đồng bảo hiểm về đối tượng được bảo hiểm để nhận tiền bồi thường hoặc lợi ích; </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 xml:space="preserve">2)giả mạo sự cố bảo hiểm mà chưa bao giờ xảy ra, giả mạo nguyên nhân của một sự cố bảo hiểm hoặc phóng đại mức độ thiệt hại của sự cố bảo hiểm để nhận tiền bồi thường hoặc lợi ích; hoặc </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 xml:space="preserve">3) cố ý gây ra sự cố bảo hiểm để nhận tiền bồi thường hoặc lợi ích. </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Người xác thực, người thẩm định hoặc người xác nhận sự cố bảo hiểm cố ý cung cấp giấy chứng nhận giả mạo cho chủ hợp đồng, người được bảo hiểm hoặc người thụ hưởng để thực hiện hành vi gian lận bảo hiểm sẽ bị xử phạt theo khoản trước.</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2.2. Đài Loan</w:t>
      </w:r>
      <w:r w:rsidR="00B42BE3" w:rsidRPr="008354C2">
        <w:rPr>
          <w:rFonts w:ascii="Times New Roman" w:eastAsia="Calibri" w:hAnsi="Times New Roman" w:cs="Times New Roman"/>
          <w:b/>
          <w:sz w:val="28"/>
          <w:szCs w:val="28"/>
          <w:lang w:val="vi-VN"/>
        </w:rPr>
        <w:t> </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Điều 76 Luật Bảo hiểm Đài Loan quy định như sau:</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Trường hợp số tiền bảo hiểm vượt quá giá trị của đối tượng được bảo hiểm, nếu hợp đồng được ký kết với sự gian lận của một trong các bên ký kết hợp đồng, bên kia có thể huỷ bỏ hợp đồng. Nếu phải gánh chịu tổn thất, bên kia cũng có thể yêu cầu bồi thường. Nếu không có gian lận, thì hợp đồng chỉ có hiệu lực trong giới hạn giá trị của đối tượng được bảo hiểm trừ trường hợp bảo hiểm có giá trị,.</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Đối với các hợp đồng không có vấn đề gian lận, sau khi một trong các bên ký kết hợp đồng thông báo cho bên kia về việc đối tượng được bảo hiểm quá mức, thì số tiền bảo hiểm và phí bảo hiểm đều được giảm theo tỷ lệ của giá trị đối tượng được bảo hiểm.</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2.3. Pháp</w:t>
      </w:r>
      <w:r w:rsidR="00B42BE3" w:rsidRPr="008354C2">
        <w:rPr>
          <w:rFonts w:ascii="Times New Roman" w:eastAsia="Calibri" w:hAnsi="Times New Roman" w:cs="Times New Roman"/>
          <w:b/>
          <w:sz w:val="28"/>
          <w:szCs w:val="28"/>
          <w:lang w:val="vi-VN"/>
        </w:rPr>
        <w:t> </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Luật Bảo hiểm Pháp có một số quy định liên quan đến phòng chống gian lận trong hoạt động kinh doanh bảo hiểm như sau:</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Điều L113-1</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Ngoại trừ các điều khoản ngoại lệ/loại trừ nghĩa vụ chính thức và hạn chế được nêu trong hợp đồng, doanh nghiệp bảo hiểm phải chịu tổn thất và thiệt hại do tai nạn ngoài dự kiến gây ra bởi lỗi của người được bảo hiểm.</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Tuy nhiên, người được bảo hiểm không được bồi thường cho các tổn thất và thiệt hại gây ra bởi hành vi cố ý hoặc gian lận của người được bảo hiểm.</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Điều L113-1 :</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Ngoại trừ các điều khoản ngoại lệ/loại trừ nghĩa vụ chính thức và hạn chế được nêu trong hợp đồng, doanh nghiệp bảo hiểm phải chịu tổn thất và thiệt hại do tai nạn ngoài dự kiến gây ra bởi lỗi của người được bảo hiểm.</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Tuy nhiên, người được bảo hiểm không được bồi thường cho các tổn thất và thiệt hại gây ra bởi hành vi cố ý hoặc gian lận của người được bảo hiểm.</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Điều L172-2:</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Bất kỳ thiếu sót hoặc kê khai gian lận của người được bảo hiểm mà có thể làm giảm thiểu đáng kể đánh giá rủi ro của doanh nghiệp bảo hiểm bất kể là có ảnh hưởng đến thiệt hại hoặc tổn thất tài sản được bảo hiểm hay không sẽ làm mất hiệu lực bảo hiểm theo yêu cầu của doanh nghiệp bảo hiểm.</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Tuy nhiên, ngoại trừ các trường hợp mà doanh nghiệp bảo hiểm chứng minh được rằng doanh nghiệp bảo hiểm sẽ không phải bảo hiểm cho những rủi ro nếu doanh nghiệp bảo hiểm đã biết trước đó, nếu người được bảo hiểm chứng minh được sự trung thực của mình, doanh nghiệp bảo hiểm phải bảo hiểm rủi ro theo tỷ lệ phí bảo hiểm đã thanh toán trên phí bảo hiểm mà lẽ ra phải thanh toán, trừ khi có Điều khác thuận lơị hơn đối với người được bảo hiểm.</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Doanh nghiệp bảo hiểm được hưởng phí bảo hiểm trong trường hợp có sự gian lận của người được bảo hiểm.</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Điều L172-6 :</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Nếu doanh nghiệp bảo hiểm chứng minh được rằng người được bảo hiểm hoặc người đại diện của người được bảo hiểm gian lận, bảo hiểm đã ký kết với giá trị vượt quá giá trị thực tế của tài sản được bảo hiểm sẽ vô hiệu và không còn hiệu lực: và doanh nghiệp bảo hiểm được hưởng phí bảo hiểm.</w:t>
      </w:r>
    </w:p>
    <w:p w:rsidR="008D42EC" w:rsidRPr="008354C2" w:rsidRDefault="008D42EC" w:rsidP="008D42EC">
      <w:pPr>
        <w:spacing w:before="120" w:after="120"/>
        <w:jc w:val="both"/>
        <w:rPr>
          <w:rFonts w:ascii="Times New Roman" w:eastAsia="Calibri" w:hAnsi="Times New Roman" w:cs="Times New Roman"/>
          <w:i/>
          <w:sz w:val="28"/>
          <w:szCs w:val="28"/>
          <w:lang w:val="vi-VN"/>
        </w:rPr>
      </w:pPr>
      <w:r w:rsidRPr="008354C2">
        <w:rPr>
          <w:rFonts w:ascii="Times New Roman" w:eastAsia="Calibri" w:hAnsi="Times New Roman" w:cs="Times New Roman"/>
          <w:i/>
          <w:sz w:val="28"/>
          <w:szCs w:val="28"/>
          <w:lang w:val="vi-VN"/>
        </w:rPr>
        <w:t>Áp dụng tương tự nếu giá trị được bảo hiểm là giá trị đã được thống nhất.</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3. Quy định về giải quyết tranh chấp trong hoạt động kinh doanh bảo hiểm</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3.1. Đức</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Các tranh chấp về bảo hiểm được kiện ra trước tòa án dân sự. Tòa án sơ thẩm là tòa án địa phương có thẩm quyền đối với các yêu cầu lên đến €5.000 và tòa án cấp huyện có thẩm quyền đối với các yêu cầu vượt quá € 5.000. Sau Tòa sơ thẩm là Tòa phúc thẩm. Trong trường hợp cuối cùng, Tòa án Tư pháp Liên bang Đức cũng có thể xét xử các vụ án bảo hiểm nếu vụ việc đó liên quan đến pháp lý chung.</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Mục 214 trong Đạo luật Hợp đồng Bảo hiểm của Đức cho phép tiến hành tố tụng trọng tài và hòa giải để giải quyết các vụ kiện. Có thể đưa hợp đồng bảo hiểm thương mại bị tranh chấp lên tòa án của một khu vực nhất định thông qua các điều khoản thẩm quyền hoặc phân xử theo thỏa thuận tại hợp đồng. Pháp luật Đức nói chung tôn trọng các thỏa thuận trọng tài trong hợp đồng bảo hiểm thương mại.</w:t>
      </w:r>
    </w:p>
    <w:p w:rsidR="00705032"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xml:space="preserve">Người được bảo hiểm cũng có thể gửi khiếu nại về bồi thường bảo hiểm không quá 50.000 € cho thanh tra viên bảo hiểm. Quyết định chỉ ràng buộc công ty bảo hiểm nếu khiếu nại bồi thường không vượt quá €10.000; nếu không, các quyết định khác chỉ là tư vấn. Mọi quyết định chống lại người được bảo hiểm sẽ không có giá trị ràng buộc. </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Các tổ chức hòa giải quan trọng nhất ở Đức là Ombudsmann Private Kranken- und Pflegeversicherung chuyên giải quyết các tranh chấp liên quan đến chính sách bảo hiểm sức khỏe và Versicherungsombudsmann xử lý tất cả các loại vụ kiện bảo hiểm khác. Hầu hết các quyết định của thanh tra viên được đưa ra trong vòng ba tháng. Việc nộp đơn sẽ không ngăn khiếu nại bồi thường bảo hiểm của người được bảo hiểm bị giới hạn thời gian.</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3.2. Pháp</w:t>
      </w:r>
      <w:r w:rsidR="00705032" w:rsidRPr="008354C2">
        <w:rPr>
          <w:rFonts w:ascii="Times New Roman" w:eastAsia="Calibri" w:hAnsi="Times New Roman" w:cs="Times New Roman"/>
          <w:b/>
          <w:sz w:val="28"/>
          <w:szCs w:val="28"/>
          <w:lang w:val="vi-VN"/>
        </w:rPr>
        <w:t> </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xml:space="preserve">Ở Pháp có hai loại toà án sơ thẩm: toà án dân sự và toà án thương mại. </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Các tòa án thương mại khác với các tòa án dân sự ở chỗ được biên chế bởi các thẩm phán không chuyên nghiệp, những người này thường là những người có kinh nghiệm kinh doanh sành sỏi. Nếu cả hai bên đều không phải là pháp nhân thương mại, thì tòa án cấp huyện hoặc tòa án cấp cao có thẩm quyền (tùy thuộc vào số lượng đơn kiện) sẽ phán quyết mọi tranh chấp sơ thẩm. Ngoài ra, tòa án thương mại khu vực có thẩm quyền độc quyền nếu tất cả các bên tranh chấp đều là các pháp nhân thương mại (trừ khi trong hợp đồng bảo hiểm có điều khoản về thẩm quyền quy định rõ ràng rằng các tòa án dân sự có thẩm quyền giải quyết khiếu nại). Cuối cùng, nếu nguyên đơn là một pháp nhân phi thương mại nhưng bị đơn là một pháp nhân thương mại, thì nguyên đơn có thể chọn bắt đầu tố tụng trước tòa án dân sự hoặc trước tòa án thương mại.</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Tuy nhiên, các thủ tục giải quyết tranh chấp thay thế cũng có thể thực hiện được ở Pháp. Các bên trong bất kỳ tranh chấp dân sự hoặc thương mại nào luôn có quyền sử dụng hòa giải hoặc trung gian.</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Có thể là trung gian tư pháp hoặc trung gian hợp đồng. Trung gian tư pháp có thể được tiến hành bởi thẩm phán hoặc trung gian viên tư pháp do thẩm phán chỉ định. Trong khuôn khổ giải quyết tranh chấp bằng trung gian hợp đồng, các bên lựa chọn bên tiến hành tố tụng. Trung gian nhằm mục đích đưa các bên đến gần nhau hơn để giúp họ đạt được thỏa thuận. Mặc dù trung gian viên có thể đưa ra ý kiến về tranh chấp, nhưng đó không phải là trọng tài viên và do đó, ý kiến đó không có giá trị ràng buộc theo bất kỳ cách nào.</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Hòa giải có thể là tư pháp hoặc hợp đồng.</w:t>
      </w:r>
    </w:p>
    <w:p w:rsidR="008D42EC" w:rsidRPr="008354C2" w:rsidRDefault="008D42EC" w:rsidP="008D42EC">
      <w:pPr>
        <w:spacing w:before="120" w:after="120"/>
        <w:contextualSpacing/>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Trong khuôn khổ hòa giải tư pháp, tùy thuộc vào thỏa thuận của các bên, thủ tục hòa giải được thực hiện bởi một thanh tra viên tư pháp. Khi các bên đã đạt được thỏa thuận, thẩm phán phê chuẩn nó.</w:t>
      </w:r>
    </w:p>
    <w:p w:rsidR="008D42EC" w:rsidRPr="008354C2" w:rsidRDefault="008D42EC" w:rsidP="008D42EC">
      <w:pPr>
        <w:spacing w:before="120" w:after="120"/>
        <w:contextualSpacing/>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Về hòa giải hợp đồng trong các vấn đề bảo hiểm, các thủ tục do thanh tra bảo hiểm xử lý. Hệ thống hòa giải này là bắt buộc đối với các công ty bảo hiểm là thành viên của Liên đoàn Bảo hiểm Pháp (FFA). Thanh tra bảo hiểm là độc lập. Người này có thể can thiệp vào các tranh chấp phát sinh giữa doanh nghiệp bảo hiểm, trung gian bảo hiểm và thậm chí cả người tiêu dùng. Theo thỏa thuận của các công ty bảo hiểm là thành viên của FFA, thanh tra bảo hiểm cũng có thể can thiệp vào các tranh chấp liên quan đến bảo hiểm nghề nghiệp (nhưng không bao gồm các rủi ro lớn). Hòa giải bảo hiểm là miễn phí và bí mật. Các bên không bị ràng buộc bởi quyết định của thanh tra viên. Tuy nhiên, nếu doanh nghiệp bảo hiểm không có ý định thực hiện theo quyết định của thanh tra viên thì thanh tra viên phải được Tổng giám đốc doanh nghiệp bảo hiểm thông báo bằng thư. Thời gian giới hạn bị đình chỉ trong quá trình hòa giải.</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Tuy nhiên, điều khoản trọng tài trong hợp đồng bảo hiểm giao kết với người được bảo hiểm được coi vô hiệu và mất hiệu lực đối với người tiêu dùng (Bộ luật người tiêu dùng, Điều R212-2 [10]).</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3.3. Trung Quốc</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xml:space="preserve">Ở Trung Quốc, hình thức giải quyết tranh chấp bảo hiểm phổ biến là tranh tụng trước tòa án. Thủ tục tố tụng tranh chấp bảo hiểm không khác gì so với các loại tranh chấp dân sự khác. Tòa án sẽ xét xử xong các vụ án sơ thẩm trong vòng sáu tháng. Việc xét xử các vụ kháng cáo đối với một bản án được tiến hành trong vòng ba tháng sau khi kháng cáo đó được kết thúc, nhưng đối với trường hợp kháng cáo chống lại một phán quyết, tòa án sẽ ra phán quyết cuối cùng trong vòng 30 ngày sau khi kết thúc kháng cáo. Về thời gian tối đa mà người được bảo hiểm có thể khiếu nại công ty bảo hiểm của mình, </w:t>
      </w:r>
      <w:r w:rsidRPr="008354C2">
        <w:rPr>
          <w:rFonts w:ascii="Times New Roman" w:eastAsia="Calibri" w:hAnsi="Times New Roman" w:cs="Times New Roman"/>
          <w:i/>
          <w:sz w:val="28"/>
          <w:szCs w:val="28"/>
          <w:lang w:val="vi-VN"/>
        </w:rPr>
        <w:t>Điều 26</w:t>
      </w:r>
      <w:r w:rsidRPr="008354C2">
        <w:rPr>
          <w:rFonts w:ascii="Times New Roman" w:eastAsia="Calibri" w:hAnsi="Times New Roman" w:cs="Times New Roman"/>
          <w:sz w:val="28"/>
          <w:szCs w:val="28"/>
          <w:lang w:val="vi-VN"/>
        </w:rPr>
        <w:t xml:space="preserve"> quy định:</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Đối với bảo hiểm không phải là bảo hiểm nhân thọ, thời hạn khởi kiện để người được bảo hiểm hoặc người thụ hưởng yêu cầu bồi thường hoặc thanh toán quyền lợi bảo hiểm đối với doanh nghiệp bảo hiểm là hai năm, được tính kể từ ngày người được bảo hiểm hoặc người thụ hưởng biết được hoặc lẽ ra phải biết được về sự cố xảy ra trong phạm vi bảo hiểm. Đối với bảo hiểm nhân thọ, thời hạn khởi kiện để người được bảo hiểm hoặc người thụ hưởng yêu cầu trả quyền lợi bảo hiểm là năm năm, được tính kể từ ngày người được bảo hiểm hoặc người thụ hưởng biết được hoặc lẽ ra phải biết về sự việc của sự kiện được bảo hiểm.</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Có thể hòa giải trước khi kiện tụng. Không có sự khác biệt giữa thủ tục trọng tài trong tranh chấp bảo hiểm và các loại tranh chấp thương mại khác. Các bên phải tham khảo các quy tắc trọng tài của tổ chức trọng tài và hướng dẫn về cung cấp bằng chứng trong một thủ tục trọng tài.</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Hòa giải hiện được cho phép thí điểm ở một số khu vực tại Trung Quốc với sự phối hợp của tòa án và các hiệp hội bảo hiểm địa phương. Nếu hợp đồng bảo hiểm có bản chất dân sự thì thỏa thuận hòa giải mà các bên tranh chấp bảo hiểm đã ký kết sẽ được thực hiện dưới sự hòa giải của tổ chức hòa giải hoặc các hòa giải viên. Với chữ ký và con dấu của tổ chức hòa giải hoặc các hòa giải viên, các bên có thể nộp đơn yêu cầu Tòa án có thẩm quyền xác nhận hiệu lực của thỏa thuận hòa giải. Thỏa thuận hòa giải được Tòa án xác nhận là hợp lệ sẽ có hiệu lực thi hành.</w:t>
      </w:r>
    </w:p>
    <w:p w:rsidR="008D42EC" w:rsidRPr="008354C2" w:rsidRDefault="008D42EC" w:rsidP="008D42EC">
      <w:pPr>
        <w:spacing w:before="120" w:after="120"/>
        <w:jc w:val="both"/>
        <w:rPr>
          <w:rFonts w:ascii="Times New Roman" w:eastAsia="Calibri" w:hAnsi="Times New Roman" w:cs="Times New Roman"/>
          <w:b/>
          <w:sz w:val="28"/>
          <w:szCs w:val="28"/>
          <w:lang w:val="vi-VN"/>
        </w:rPr>
      </w:pPr>
      <w:r w:rsidRPr="008354C2">
        <w:rPr>
          <w:rFonts w:ascii="Times New Roman" w:eastAsia="Calibri" w:hAnsi="Times New Roman" w:cs="Times New Roman"/>
          <w:b/>
          <w:sz w:val="28"/>
          <w:szCs w:val="28"/>
          <w:lang w:val="vi-VN"/>
        </w:rPr>
        <w:t>3.4. Singapore</w:t>
      </w:r>
      <w:r w:rsidR="00705032" w:rsidRPr="008354C2">
        <w:rPr>
          <w:rFonts w:ascii="Times New Roman" w:eastAsia="Calibri" w:hAnsi="Times New Roman" w:cs="Times New Roman"/>
          <w:b/>
          <w:sz w:val="28"/>
          <w:szCs w:val="28"/>
          <w:lang w:val="vi-VN"/>
        </w:rPr>
        <w:t> </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Các tranh chấp bảo hiểm, giống như các khiếu nại dân sự khác, được khởi kiện trước Tòa án. Trong đó, các khiếu nại dân sự được xử lý bởi các tòa án cấp quận, tòa án thẩm phán, tòa án khiếu nại việc làm và các tòa án khiếu nại nhỏ. Các khiếu nại dân sự có giá trị lên đến 60.000 đô la Singapore có thể được xử tại các tòa án của thẩm phán. Các khiếu nại dân sự có giá trị vượt quá 60.000 đô la Singapore nhưng không vượt quá 250.000 đô la Singapore có thể được xử tại các tòa án quận. Tuy nhiên, một tòa án quận có thể có thẩm quyền xét xử một vụ kiện mà số tiền tranh chấp vượt quá 250.000 đô la Singapore nếu tất cả các bên đồng ý. Các bên tham gia tố tụng tòa án cấp huyện có thể đồng ý áp dụng thủ tục đơn giản hóa được sử dụng cho tòa án thẩm phán.</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Các phương pháp Giải quyết tranh chấp thay thế (ADR) tồn tại song song với việc kiện tụng chính thức để đẩy nhanh các quyết định và tiết kiệm chi phí cho tất cả các bên. Đối với ngành dịch vụ tài chính, Trung tâm Giải quyết tranh chấp lĩnh vực tài chính (FIDReC) đã được thành lập như một giải pháp hợp lý và dễ tiếp cận để người tiêu dùng giải quyết tranh chấp của họ với các tổ chức tài chính. Quyền tài phán của FIDReC cho phép giải quyết các tranh chấp lên đến 100.000 đô la Singapore cho mỗi khiếu nại giữa người tiêu dùng và các tổ chức tài chính. Quyết định của cơ quan xét xử là quyết định cuối cùng và ràng buộc đối với tổ chức tài chính nhưng không phải là ràng buộc đối với người tiêu dùng.</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Đối với các tranh chấp thương mại trong nước, Trung tâm Hòa giải Singapore (SMC) là một tổ chức phi lợi nhuận cung cấp các dịch vụ hòa giải thương mại. Ban hòa giải của SMC chủ yếu bao gồm các hòa giải viên trong nước. Trong khi hầu hết các tranh chấp mà SMC xử lý là tranh chấp xây dựng, SMC cũng giải quyết các tranh chấp về bảo hiểm.</w:t>
      </w:r>
    </w:p>
    <w:p w:rsidR="008D42EC" w:rsidRPr="008354C2" w:rsidRDefault="008D42EC" w:rsidP="008D42EC">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Các Hướng dẫn thực hành của Tòa án cũng đưa ra ‘giả định giải quyết tranh chấp thay thế (ADR)’ trong tất cả các khiếu kiện dân sự trước Tòa án để khuyến khích các phương pháp giải quyết tranh chấp thay thế khác là lựa chọn đầu tiên trong việc giải quyết các tranh chấp. Quy trình ADR của tòa án (chủ yếu bao gồm hòa giải và trung gian) là bắt buộc trong các trường hợp khiếu nại về bảo hiểm tai nạn ô tô không gây thương tích, bảo hiểm thương tích cá nhân và bảo hiểm sơ suất y tế. Đối với các vụ án của thẩm phán áp dụng thủ tục đơn giản, tòa án có thể chuyển hồ sơ cho các trung tâm giải quyết tranh chấp thay thế với sự đồng ý của các bên hoặc khi tòa án cho rằng làm như vậy sẽ tạo thuận lợi cho việc giải quyết tranh chấp giữa các bên. Các trường hợp không thuộc danh mục đó sẽ tự động được chuyển đến trung tâm giải quyết tranh chấp thay thế trừ khi bất kỳ hoặc tất cả các bên chọn không tham gia cách giải quyết này. Tòa án có thể tính đến việc một bên từ chối giải pháp tranh chấp thay thế khi đưa ra các quyết định tiếp theo.</w:t>
      </w: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705032" w:rsidP="008D42EC">
      <w:pPr>
        <w:spacing w:before="120" w:after="120"/>
        <w:jc w:val="both"/>
        <w:rPr>
          <w:rFonts w:ascii="Times New Roman" w:eastAsia="Calibri" w:hAnsi="Times New Roman" w:cs="Times New Roman"/>
          <w:sz w:val="28"/>
          <w:szCs w:val="28"/>
          <w:lang w:val="vi-VN"/>
        </w:rPr>
      </w:pPr>
    </w:p>
    <w:p w:rsidR="00705032" w:rsidRPr="008354C2" w:rsidRDefault="00431943" w:rsidP="00705032">
      <w:pPr>
        <w:tabs>
          <w:tab w:val="left" w:pos="880"/>
          <w:tab w:val="right" w:leader="dot" w:pos="9170"/>
        </w:tabs>
        <w:spacing w:before="120" w:after="120"/>
        <w:jc w:val="center"/>
        <w:rPr>
          <w:rFonts w:ascii="Times New Roman" w:eastAsia="Arial" w:hAnsi="Times New Roman" w:cs="Times New Roman"/>
          <w:noProof/>
          <w:sz w:val="28"/>
          <w:szCs w:val="28"/>
          <w:lang w:val="vi-VN"/>
        </w:rPr>
      </w:pPr>
      <w:hyperlink w:anchor="_Toc1551664" w:history="1">
        <w:r w:rsidR="00705032" w:rsidRPr="008354C2">
          <w:rPr>
            <w:rFonts w:ascii="Times New Roman" w:eastAsia="Arial" w:hAnsi="Times New Roman" w:cs="Times New Roman"/>
            <w:b/>
            <w:noProof/>
            <w:sz w:val="28"/>
            <w:szCs w:val="28"/>
            <w:lang w:val="vi-VN"/>
          </w:rPr>
          <w:t>VII. CHÍNH SÁCH 7: HOÀN THIỆN QUY ĐỊNH VỀ NÂNG CAO HIỆU LỰC, HIỆU QUẢ QUẢN LÝ NHÀ NƯỚC, ĐỒNG THỜI TẠO MÔI TRƯỜNG THUẬN LỢI CHO PHÁT TRIỂN BẢO HIỂM</w:t>
        </w:r>
      </w:hyperlink>
    </w:p>
    <w:p w:rsidR="000649B8" w:rsidRPr="008354C2" w:rsidRDefault="000649B8" w:rsidP="000649B8">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1. Quy định liên quan đến thủ tục hành chính</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Thông tin về quản lý nhà nước về hoạt động kinh doanh bảo hiểm</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Luật Bảo hiểm Trung Quốc 2015: Điều 133 Chương 6 quy định: Cơ quan quản lý bảo hiểm phải thực hiện giám sát và quản lý ngành bảo hiểm theo các nhiệm vụ được giao và phù hợp với các nguyên tắc hợp pháp, minh bạch và công bằng, bảo vệ trật tự của thị trường bảo hiểm, bảo vệ quyền và lợi ích hợp pháp của chủ hợp đồng, bên được bảo hiểm và người thụ hưởng.</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Cơ chế phối hợp trong quản lý nhà nước: </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Luật Bảo hiểm Trung Quốc 2015: Điều 157 Chương 6 quy định về việc chỉa sẻ thông tin quản lý giữa cơ quan giám sát bảo hiểm với Ngân hàng Nhân dân Trung Quốc và các cơ quan tài chính khác, các cơ quan quản lý của Quốc Vụ Viện trong quá trình thực hiện công tác giám sát, thanh tra, kiểm tra theo quy định pháp luật. </w:t>
      </w:r>
    </w:p>
    <w:p w:rsidR="000649B8" w:rsidRPr="008354C2" w:rsidRDefault="000649B8" w:rsidP="000649B8">
      <w:pPr>
        <w:spacing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2. </w:t>
      </w:r>
      <w:r w:rsidR="00AF6E0D" w:rsidRPr="008354C2">
        <w:rPr>
          <w:rFonts w:ascii="Times New Roman" w:eastAsia="Arial" w:hAnsi="Times New Roman" w:cs="Times New Roman"/>
          <w:b/>
          <w:sz w:val="28"/>
          <w:szCs w:val="28"/>
          <w:lang w:val="vi-VN"/>
        </w:rPr>
        <w:t>Quy định đ</w:t>
      </w:r>
      <w:r w:rsidRPr="008354C2">
        <w:rPr>
          <w:rFonts w:ascii="Times New Roman" w:eastAsia="Arial" w:hAnsi="Times New Roman" w:cs="Times New Roman"/>
          <w:b/>
          <w:sz w:val="28"/>
          <w:szCs w:val="28"/>
          <w:lang w:val="vi-VN"/>
        </w:rPr>
        <w:t>ối với nhóm nhiệm vụ, quyền hạn trong quá trình quản lý, giám sát, thanh tra, kiểm tra, xử lý vi phạm pháp luật về hoạt động kinh doanh bảo hiểm</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ICP 9.10: Không giới hạn việc sử dụng các nhà cung cấp dịch vụ ngoài để đảm bảo hiệu quả trong công tác thanh tra, kiểm tra tại chỗ.</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Luật Bảo hiểm Trung Quốc 2015: </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Điều 150 Chương 6 quy định:  Cơ quan quản lý bảo hiểm có quyền yêu cầu cổ đông hoặc bên kiểm soát thực tế của công ty bảo hiểm để cung cấp thông tin và tài liệu liên quan trong khoảng thời gian quy định. </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152 Chương 6 quy định: Trong quá trình thực hiện chức năng quản lý, giám sát, cơ quan quản lý bảo hiểm có thể tiến hành trao đổi công tác quản lý giám sát với chủ tịch, người kiểm soát và nhân viên quản lý cấp cao của công ty bảo hiểm, yêu cầu đưa ra giải thích đối với hoạt động kinh doanh và quản lý rủi ro của công ty bảo hiểm.</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Điều 154 Chương 6 quy định: trong quá trình thực hiện chức năng quá lý, giám sát, cơ quan quản lý bảo hiểm có thể áp dụng các biện pháp sau:</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 (1) Tiến hành kiểm tra tại chỗ đối với các công ty bảo hiểm, đại lý bảo hiểm, bảo hiểm môi giới, công ty quản lý tài sản bảo hiểm và chi nhánh, văn phòng đại diện doanh nghiệp bảo hiểm ở nước ngoài;</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(2) Điều tra và thu thập bằng chứng tại nơi phát sinh nghi ngờ có hành vi vi phạm pháp luật;</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(3) Chất vấn đương sự và các tổ chức, cá nhân liên quan đến các vấn đề điều tra, yêu cầu giải thích về các vấn đề liên quan đến vấn đề điều tra;</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(4) Kiểm tra và sao chép các tài liệu liên quan đến các vấn đề điều tra;</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 xml:space="preserve">(5) Tra cứu, sao chép các tài liệu kế toán tài chính và các tài liệu, tài liệu khác có liên quan khác của công ty bảo hiểm, đại lý bảo hiểm, môi giới bảo hiểm, quản lý tài sản bảo hiểm công ty, chi nhánh, văn phòng đại diện bảo hiểm ở nước ngoài và tổ chức, cá nhân liên quan; thực hiện niêm phong đối với các tài liệu có khả năng bị chuyển nhượng, che giấu hoặc bị tiêu hủy; </w:t>
      </w:r>
    </w:p>
    <w:p w:rsidR="000649B8" w:rsidRPr="008354C2" w:rsidRDefault="000649B8" w:rsidP="000649B8">
      <w:pPr>
        <w:spacing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(6) Tra cứu tài khoản ngân hàng của các công ty bảo hiểm, đại lý bảo hiểm, môi giới bảo hiểm, công ty quản lý tài sản bảo hiểm, chi nhánh, văn phòng đại diện bảo hiểm ở nước nước ngoài và các tổ chức, cá nhân có nghi ngờ liên quan đến hành vi vi phạm pháp luậ</w:t>
      </w:r>
      <w:r w:rsidR="00AF6E0D" w:rsidRPr="008354C2">
        <w:rPr>
          <w:rFonts w:ascii="Times New Roman" w:eastAsia="Arial" w:hAnsi="Times New Roman" w:cs="Times New Roman"/>
          <w:sz w:val="28"/>
          <w:szCs w:val="28"/>
          <w:lang w:val="vi-VN"/>
        </w:rPr>
        <w:t>t.</w:t>
      </w:r>
    </w:p>
    <w:p w:rsidR="000649B8" w:rsidRPr="008354C2" w:rsidRDefault="000649B8" w:rsidP="00705032">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w:t>
      </w:r>
      <w:r w:rsidR="00705032" w:rsidRPr="008354C2">
        <w:rPr>
          <w:rFonts w:ascii="Times New Roman" w:eastAsia="Arial" w:hAnsi="Times New Roman" w:cs="Times New Roman"/>
          <w:b/>
          <w:sz w:val="28"/>
          <w:szCs w:val="28"/>
          <w:lang w:val="vi-VN"/>
        </w:rPr>
        <w:t xml:space="preserve">. </w:t>
      </w:r>
      <w:r w:rsidRPr="008354C2">
        <w:rPr>
          <w:rFonts w:ascii="Times New Roman" w:eastAsia="Arial" w:hAnsi="Times New Roman" w:cs="Times New Roman"/>
          <w:b/>
          <w:sz w:val="28"/>
          <w:szCs w:val="28"/>
          <w:lang w:val="vi-VN"/>
        </w:rPr>
        <w:t>Xây dựng cơ sở dữ liệu để phòng chống gian lận, trục lợi bảo hiểm</w:t>
      </w:r>
    </w:p>
    <w:p w:rsidR="00705032" w:rsidRPr="008354C2" w:rsidRDefault="000649B8" w:rsidP="00705032">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 xml:space="preserve">3.1. </w:t>
      </w:r>
      <w:r w:rsidR="00705032" w:rsidRPr="008354C2">
        <w:rPr>
          <w:rFonts w:ascii="Times New Roman" w:eastAsia="Arial" w:hAnsi="Times New Roman" w:cs="Times New Roman"/>
          <w:b/>
          <w:sz w:val="28"/>
          <w:szCs w:val="28"/>
          <w:lang w:val="vi-VN"/>
        </w:rPr>
        <w:t>Hồng Kông</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i/>
          <w:sz w:val="28"/>
          <w:szCs w:val="28"/>
          <w:lang w:val="vi-VN"/>
        </w:rPr>
        <w:t>Không có quy định pháp luật cụ thể nào quy định về gian lận bảo hiểm</w:t>
      </w:r>
      <w:r w:rsidRPr="008354C2">
        <w:rPr>
          <w:rFonts w:ascii="Times New Roman" w:eastAsia="Arial" w:hAnsi="Times New Roman" w:cs="Times New Roman"/>
          <w:sz w:val="28"/>
          <w:szCs w:val="28"/>
          <w:lang w:val="vi-VN"/>
        </w:rPr>
        <w:t>, bị truy tố là tội phạm liên quan đến gian lận có thể liên quan đến "trộm cắp", "gian lận" hoặc "lấy tài sản bằng cách lừa dối" theo Sắc lệnh Trộm cắp (Điều 210) và / hoặc tội "âm mưu lừa đảo" theo Pháp lệnh phòng chống Tội phạm (Điều 200).</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i/>
          <w:sz w:val="28"/>
          <w:szCs w:val="28"/>
          <w:lang w:val="vi-VN"/>
        </w:rPr>
        <w:t>Cơ quan chuyên trách để lãnh đạo công tác chống gian lận:</w:t>
      </w:r>
      <w:r w:rsidRPr="008354C2">
        <w:rPr>
          <w:rFonts w:ascii="Times New Roman" w:eastAsia="Arial" w:hAnsi="Times New Roman" w:cs="Times New Roman"/>
          <w:sz w:val="28"/>
          <w:szCs w:val="28"/>
          <w:lang w:val="vi-VN"/>
        </w:rPr>
        <w:t xml:space="preserve"> Liên đoàn các doanh nghiệp bảo hiểm Hồng Kông("HKFI") lãnh đạo và tư vấn cho ngành bảo hiểm về các biện pháp ngăn ngừa và chống gian lận bảo hiểm.</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i/>
          <w:sz w:val="28"/>
          <w:szCs w:val="28"/>
          <w:lang w:val="vi-VN"/>
        </w:rPr>
        <w:t>Cơ quan thực thi pháp luật về gian lận bảo hiểm:</w:t>
      </w:r>
      <w:r w:rsidRPr="008354C2">
        <w:rPr>
          <w:rFonts w:ascii="Times New Roman" w:eastAsia="Arial" w:hAnsi="Times New Roman" w:cs="Times New Roman"/>
          <w:sz w:val="28"/>
          <w:szCs w:val="28"/>
          <w:lang w:val="vi-VN"/>
        </w:rPr>
        <w:t xml:space="preserve"> Cục phòng chốngTội phạm Thương mại của Cảnh sát Hồng Kông tiến hành điều tra có mục đích các hành vi bị nghi ngờ gian lận do HKFI đề cập.</w:t>
      </w:r>
    </w:p>
    <w:p w:rsidR="00705032" w:rsidRPr="008354C2" w:rsidRDefault="00705032" w:rsidP="00705032">
      <w:pPr>
        <w:spacing w:before="120" w:after="120"/>
        <w:jc w:val="both"/>
        <w:rPr>
          <w:rFonts w:ascii="Times New Roman" w:eastAsia="Calibri" w:hAnsi="Times New Roman" w:cs="Times New Roman"/>
          <w:b/>
          <w:i/>
          <w:sz w:val="28"/>
          <w:szCs w:val="28"/>
          <w:lang w:val="vi-VN"/>
        </w:rPr>
      </w:pPr>
      <w:r w:rsidRPr="008354C2">
        <w:rPr>
          <w:rFonts w:ascii="Times New Roman" w:eastAsia="Calibri" w:hAnsi="Times New Roman" w:cs="Times New Roman"/>
          <w:b/>
          <w:i/>
          <w:sz w:val="28"/>
          <w:szCs w:val="28"/>
          <w:lang w:val="vi-VN"/>
        </w:rPr>
        <w:t xml:space="preserve">Thiết lập cơ sở dữ liệu trung tâm để phát hiện gian lận bảo hiểm: </w:t>
      </w:r>
    </w:p>
    <w:p w:rsidR="00705032" w:rsidRPr="008354C2" w:rsidRDefault="00705032" w:rsidP="00705032">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Cơ sở dữ liệu Khiếu nại Phòng chống Gian lận Bảo hiểm ("IFPCD") do HKFI thiết lập. IFPCD được thành lập vào năm 2018 và hiện được 34 công ty thành viên HKFI sử dụng.</w:t>
      </w:r>
    </w:p>
    <w:p w:rsidR="00705032" w:rsidRPr="008354C2" w:rsidRDefault="00705032" w:rsidP="00705032">
      <w:pPr>
        <w:spacing w:before="120" w:after="120"/>
        <w:jc w:val="both"/>
        <w:rPr>
          <w:rFonts w:ascii="Times New Roman" w:eastAsia="Calibri" w:hAnsi="Times New Roman" w:cs="Times New Roman"/>
          <w:b/>
          <w:i/>
          <w:sz w:val="28"/>
          <w:szCs w:val="28"/>
          <w:lang w:val="vi-VN"/>
        </w:rPr>
      </w:pPr>
      <w:r w:rsidRPr="008354C2">
        <w:rPr>
          <w:rFonts w:ascii="Times New Roman" w:eastAsia="Calibri" w:hAnsi="Times New Roman" w:cs="Times New Roman"/>
          <w:b/>
          <w:i/>
          <w:sz w:val="28"/>
          <w:szCs w:val="28"/>
          <w:lang w:val="vi-VN"/>
        </w:rPr>
        <w:t>Phạm vi của (các) cơ sở dữ liệu:</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IFPCD hiện đang quản lý cơ sở dữ liệu về bảo hiểm xe cơ giới, bảo hiểm sức khỏe và tai nạn cá nhân. Hệ thống sẽ được phát triển để cung cấp cơ sở dữ liệu về bảo hiểm du lịch và bảo hiểm nhân thọ ở giai đoạn sau: Các công ty bảo hiểm tham gia có thể tải các thông tin sau lên IFPCD:</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(a) thông tin sản phẩm, đơn bảo hiểm (ví dụ: số phạm vi bảo hiểm);</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(b) thông tin yêu cầu bồi thường (ví dụ: ngày xảy ra tai nạn / điều trị);</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 dữ liệu cá nhân (ví dụ: tên, ngày sinh và số ID); và</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(d) dữ liệu của bên thứ ba (ví dụ: nhà cung cấp dịch vụ chăm sóc sức khỏe, cửa hàng sửa chữa, v.v.).</w:t>
      </w:r>
    </w:p>
    <w:p w:rsidR="00705032" w:rsidRPr="008354C2" w:rsidRDefault="00705032" w:rsidP="00705032">
      <w:pPr>
        <w:spacing w:before="120" w:after="120"/>
        <w:jc w:val="both"/>
        <w:rPr>
          <w:rFonts w:ascii="Times New Roman" w:eastAsia="Calibri" w:hAnsi="Times New Roman" w:cs="Times New Roman"/>
          <w:b/>
          <w:i/>
          <w:sz w:val="28"/>
          <w:szCs w:val="28"/>
          <w:lang w:val="vi-VN"/>
        </w:rPr>
      </w:pPr>
      <w:r w:rsidRPr="008354C2">
        <w:rPr>
          <w:rFonts w:ascii="Times New Roman" w:eastAsia="Calibri" w:hAnsi="Times New Roman" w:cs="Times New Roman"/>
          <w:b/>
          <w:i/>
          <w:sz w:val="28"/>
          <w:szCs w:val="28"/>
          <w:lang w:val="vi-VN"/>
        </w:rPr>
        <w:t>Sử dụng phân tích dữ liệu để phát hiện gian lận bảo hiểm</w:t>
      </w:r>
    </w:p>
    <w:p w:rsidR="00705032" w:rsidRPr="008354C2" w:rsidRDefault="00705032" w:rsidP="00705032">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IFPCD của HKFI sử dụng dữ big data và công nghệ trí tuệ thông minh AI để cảnh báo các công ty bảo hiểm tham gia về những bất thường có thể xảy ra khi yêu cầu bồi thường, đặc biệt là những vấn đề liên quan đến nhiều yêu cầu bồi thường và liên kết. Thuật toán AI xem xét nhiều loại thông tin / dữ liệu khác nhau để đưa ra điểm đánh giá mức độ tin cậy của một xác nhận quyền sở hữu có thể là gian lận. Công nghệ chuỗi khối của HKFI cũng đã phát triển Hệ thống xác thực bảo hiểm xe máy dựa trên DLT1, sử dụng công nghệ blockchain để cho phép dễ dàng xác minh các hành vi gian lận trong bảo hiểm ô tô để ngăn chặn gian lận và phát hiện các tài liệu giả do các nhà môi giới bảo hiểm bất hợp pháp tạo ra.</w:t>
      </w:r>
    </w:p>
    <w:p w:rsidR="00705032" w:rsidRPr="008354C2" w:rsidRDefault="000649B8" w:rsidP="00705032">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w:t>
      </w:r>
      <w:r w:rsidR="00705032" w:rsidRPr="008354C2">
        <w:rPr>
          <w:rFonts w:ascii="Times New Roman" w:eastAsia="Arial" w:hAnsi="Times New Roman" w:cs="Times New Roman"/>
          <w:b/>
          <w:sz w:val="28"/>
          <w:szCs w:val="28"/>
          <w:lang w:val="vi-VN"/>
        </w:rPr>
        <w:t>.2. Anh</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b/>
          <w:i/>
          <w:sz w:val="28"/>
          <w:szCs w:val="28"/>
          <w:lang w:val="vi-VN"/>
        </w:rPr>
        <w:t>Quy định pháp luật cụ thể quy định về gian lận bảo hiểm</w:t>
      </w:r>
      <w:r w:rsidRPr="008354C2">
        <w:rPr>
          <w:rFonts w:ascii="Times New Roman" w:eastAsia="Arial" w:hAnsi="Times New Roman" w:cs="Times New Roman"/>
          <w:sz w:val="28"/>
          <w:szCs w:val="28"/>
          <w:lang w:val="vi-VN"/>
        </w:rPr>
        <w:t>:  Luật Bảo hiểm 2015 của Anh quy định các biện pháp khắc phục dành cho các công ty bảo hiểm để đối phó với các hành vi trình bày sai, không tiết lộ và gian lận của người được bảo hiểm. Các biện pháp khắc phục bao gồm: vô hiệu hợp đồng bảo hiểm và không hoàn trả phí bảo hiểm mà người được bảo hiểm đã thanh toán.</w:t>
      </w:r>
    </w:p>
    <w:p w:rsidR="00705032" w:rsidRPr="008354C2" w:rsidRDefault="00705032" w:rsidP="00705032">
      <w:pPr>
        <w:spacing w:before="120" w:after="120"/>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 xml:space="preserve">Cơ quan chuyên trách để lãnh đạo công tác chống gian lận: </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Cục phòng chống gian lận bảo hiểm ("IFB"), một tổ chức phi lợi nhuận được tài trợ bởi Hiệp hội bảo hiểm Anh ("ABI"), hoạt động như một trung tâm chia sẻ thông tin và dữ liệu gian lận bảo hiểm.</w:t>
      </w:r>
    </w:p>
    <w:p w:rsidR="00705032" w:rsidRPr="008354C2" w:rsidRDefault="00705032" w:rsidP="00705032">
      <w:pPr>
        <w:spacing w:before="120" w:after="120"/>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Cơ quan thực thi pháp luật về gian lận bảo hiểm:</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ABI tài trợ cho Cục Thực thi phòng chống Gian lận Bảo hiểm ("IFED"), một đơn vị độc lập trong CA Luân Đôn, với vai trò chuyên tâm chống gian lận bảo hiểm.</w:t>
      </w:r>
    </w:p>
    <w:p w:rsidR="00705032" w:rsidRPr="008354C2" w:rsidRDefault="00705032" w:rsidP="00705032">
      <w:pPr>
        <w:spacing w:before="120" w:after="120"/>
        <w:jc w:val="both"/>
        <w:rPr>
          <w:rFonts w:ascii="Times New Roman" w:eastAsia="Calibri" w:hAnsi="Times New Roman" w:cs="Times New Roman"/>
          <w:b/>
          <w:i/>
          <w:sz w:val="28"/>
          <w:szCs w:val="28"/>
          <w:lang w:val="vi-VN"/>
        </w:rPr>
      </w:pPr>
      <w:r w:rsidRPr="008354C2">
        <w:rPr>
          <w:rFonts w:ascii="Times New Roman" w:eastAsia="Calibri" w:hAnsi="Times New Roman" w:cs="Times New Roman"/>
          <w:b/>
          <w:i/>
          <w:sz w:val="28"/>
          <w:szCs w:val="28"/>
          <w:lang w:val="vi-VN"/>
        </w:rPr>
        <w:t xml:space="preserve">Thiết lập cơ sở dữ liệu trung tâm để phát hiện gian lận bảo hiểm: </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Sổ Đăng ký Gian lận Bảo hiểm ("IFR") được tài trợ bởi các thành viên ABI và được điều hành bởi IFB. IFR ra đời vào cuối năm 2013 và hiện đã có hơn 300 công ty bảo hiểm là thành viên của ABI.</w:t>
      </w:r>
    </w:p>
    <w:p w:rsidR="00705032" w:rsidRPr="008354C2" w:rsidRDefault="00705032" w:rsidP="00705032">
      <w:pPr>
        <w:spacing w:before="120" w:after="120"/>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Phạm vi của (các) cơ sở dữ liệu:</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IFR cung cấp thông tin về các sản phẩm bảo hiểm cho các DNBH là thành viên ABI. IFR là cơ sở dữ liệu toàn ngành bảo hiểm về những cá nhân có hành vi gian lận đã được chứng minh và lưu trữ thông tin về những gian lận trong tất cả các loại hình bảo hiểm và ở tất cả các giai đoạn trong quy trình bảo hiểm. Danh tính của những cá nhân đã bị phát hiện có hành vi gian lận đối với công ty bảo hiểm, cho dù cấp đơn, tái tục hoặc khi yêu cầu bồi thường, sẽ được các DNBH cập nhật vào hệ thống thông tin của IFR.</w:t>
      </w:r>
    </w:p>
    <w:p w:rsidR="00705032" w:rsidRPr="008354C2" w:rsidRDefault="00705032" w:rsidP="00705032">
      <w:pPr>
        <w:spacing w:before="120" w:after="120"/>
        <w:jc w:val="both"/>
        <w:rPr>
          <w:rFonts w:ascii="Times New Roman" w:eastAsia="Calibri" w:hAnsi="Times New Roman" w:cs="Times New Roman"/>
          <w:b/>
          <w:i/>
          <w:sz w:val="28"/>
          <w:szCs w:val="28"/>
          <w:lang w:val="vi-VN"/>
        </w:rPr>
      </w:pPr>
      <w:r w:rsidRPr="008354C2">
        <w:rPr>
          <w:rFonts w:ascii="Times New Roman" w:eastAsia="Calibri" w:hAnsi="Times New Roman" w:cs="Times New Roman"/>
          <w:b/>
          <w:i/>
          <w:sz w:val="28"/>
          <w:szCs w:val="28"/>
          <w:lang w:val="vi-VN"/>
        </w:rPr>
        <w:t>Sử dụng phân tích dữ liệu để phát hiện gian lận bảo hiểm:</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Công ty bảo hiểm theo dõi các tài khoản mạng xã hội khác nhau và các trang web khác, sau đó áp dụng phân tích dữ liệu để xác định mối quan hệ giữa mọi người, các nhóm và tổ chức. Việc sử dụng phân tích mạng xã hội giúp DNBH xác định mối liên hệ yêu cầu bồi thường với các hoạt động hoặc nhóm gian lận. Ví dụ: yêu cầu bồi thường cho cáo buộc chấn thương lưng đã bị từ chối khi hình ảnh trên Facebook cho thấy người khiếu nại đang biểu diễn thể dục dụng cụ và luyện tập cho một cuộc chạy bộ từ thiện.</w:t>
      </w:r>
    </w:p>
    <w:p w:rsidR="00705032" w:rsidRPr="008354C2" w:rsidRDefault="000649B8" w:rsidP="00705032">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3</w:t>
      </w:r>
      <w:r w:rsidR="00705032" w:rsidRPr="008354C2">
        <w:rPr>
          <w:rFonts w:ascii="Times New Roman" w:eastAsia="Arial" w:hAnsi="Times New Roman" w:cs="Times New Roman"/>
          <w:b/>
          <w:sz w:val="28"/>
          <w:szCs w:val="28"/>
          <w:lang w:val="vi-VN"/>
        </w:rPr>
        <w:t>.3. Mỹ</w:t>
      </w:r>
    </w:p>
    <w:p w:rsidR="00705032" w:rsidRPr="008354C2" w:rsidRDefault="00705032" w:rsidP="00705032">
      <w:pPr>
        <w:spacing w:before="120" w:after="120"/>
        <w:jc w:val="both"/>
        <w:rPr>
          <w:rFonts w:ascii="Times New Roman" w:eastAsia="Arial" w:hAnsi="Times New Roman" w:cs="Times New Roman"/>
          <w:b/>
          <w:sz w:val="28"/>
          <w:szCs w:val="28"/>
          <w:lang w:val="vi-VN"/>
        </w:rPr>
      </w:pPr>
      <w:r w:rsidRPr="008354C2">
        <w:rPr>
          <w:rFonts w:ascii="Times New Roman" w:eastAsia="Arial" w:hAnsi="Times New Roman" w:cs="Times New Roman"/>
          <w:b/>
          <w:i/>
          <w:sz w:val="28"/>
          <w:szCs w:val="28"/>
          <w:lang w:val="vi-VN"/>
        </w:rPr>
        <w:t>Quy định pháp luật cụ thể nào quy định về gian lận bảo hiểm</w:t>
      </w:r>
      <w:r w:rsidRPr="008354C2">
        <w:rPr>
          <w:rFonts w:ascii="Times New Roman" w:eastAsia="Arial" w:hAnsi="Times New Roman" w:cs="Times New Roman"/>
          <w:b/>
          <w:sz w:val="28"/>
          <w:szCs w:val="28"/>
          <w:lang w:val="vi-VN"/>
        </w:rPr>
        <w:t xml:space="preserve">:  </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Ở Mỹ, hành vi gian lận bảo hiểm không được quy định tại Văn bản PL ở cấp liên bang. Tất cả các tiểu bang đã khuyến khích ban hành các quy định về phòng, chống gian lận bảo hiểm cụ thể tại bang mình để xác định các hành vi gian lận và đặt ra các hình thức xử phạt.</w:t>
      </w:r>
    </w:p>
    <w:p w:rsidR="00705032" w:rsidRPr="008354C2" w:rsidRDefault="00705032" w:rsidP="00705032">
      <w:pPr>
        <w:spacing w:before="120" w:after="120"/>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 xml:space="preserve">Cơ quan chuyên trách để lãnh đạo công tác chống gian lận: </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Cục phòng chống Tội phạm Bảo hiểm Quốc gia ("NICB") -một tổ chức phi lợi nhuận - với vai trò ngăn chặn và phát hiện gian lận bảo hiểm thông qua phân tích dữ liệu, điều tra, đào tạo, vận động lập pháp và nâng cao nhận thức của cộng đồng về bảo hiểm.</w:t>
      </w:r>
    </w:p>
    <w:p w:rsidR="00705032" w:rsidRPr="008354C2" w:rsidRDefault="00705032" w:rsidP="00705032">
      <w:pPr>
        <w:spacing w:before="120" w:after="120"/>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Cơ quan thực thi pháp luật về gian lận bảo hiểm:</w:t>
      </w:r>
    </w:p>
    <w:p w:rsidR="00705032" w:rsidRPr="008354C2" w:rsidRDefault="00705032" w:rsidP="00705032">
      <w:pPr>
        <w:spacing w:before="120" w:after="12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Hầu hết các tiểu bang chống gian lận bảo hiểm thông qua việc thành lập các văn phòng phòng, chống gian lận bảo hiểm để điều tra và truy tố tội phạm liên quan đến gian lận bảo hiểm.</w:t>
      </w:r>
    </w:p>
    <w:p w:rsidR="00705032" w:rsidRPr="008354C2" w:rsidRDefault="00705032" w:rsidP="00705032">
      <w:pPr>
        <w:spacing w:before="120" w:after="120"/>
        <w:jc w:val="both"/>
        <w:rPr>
          <w:rFonts w:ascii="Times New Roman" w:eastAsia="Calibri" w:hAnsi="Times New Roman" w:cs="Times New Roman"/>
          <w:b/>
          <w:i/>
          <w:sz w:val="28"/>
          <w:szCs w:val="28"/>
          <w:lang w:val="vi-VN"/>
        </w:rPr>
      </w:pPr>
      <w:r w:rsidRPr="008354C2">
        <w:rPr>
          <w:rFonts w:ascii="Times New Roman" w:eastAsia="Calibri" w:hAnsi="Times New Roman" w:cs="Times New Roman"/>
          <w:b/>
          <w:i/>
          <w:sz w:val="28"/>
          <w:szCs w:val="28"/>
          <w:lang w:val="vi-VN"/>
        </w:rPr>
        <w:t xml:space="preserve">Thiết lập cơ sở dữ liệu trung tâm để phát hiện gian lận bảo hiểm: </w:t>
      </w:r>
    </w:p>
    <w:p w:rsidR="00705032" w:rsidRPr="008354C2" w:rsidRDefault="00705032" w:rsidP="00705032">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Cơ sở dữ liệu do Phòng phân tích dữ liệu của NICB xây dựng và quản lý. Các doanh nghiệp bảo hiểm có thể truy cập cơ sở dữ liệu của NICB để tra cứu thông tin liên quan đến người bảo hiểm, đơn bảo hiểm và các thông tin khác.</w:t>
      </w:r>
    </w:p>
    <w:p w:rsidR="00705032" w:rsidRPr="008354C2" w:rsidRDefault="00705032" w:rsidP="00705032">
      <w:pPr>
        <w:spacing w:before="120" w:after="120"/>
        <w:jc w:val="both"/>
        <w:rPr>
          <w:rFonts w:ascii="Times New Roman" w:eastAsia="Arial" w:hAnsi="Times New Roman" w:cs="Times New Roman"/>
          <w:b/>
          <w:i/>
          <w:sz w:val="28"/>
          <w:szCs w:val="28"/>
          <w:lang w:val="vi-VN"/>
        </w:rPr>
      </w:pPr>
      <w:r w:rsidRPr="008354C2">
        <w:rPr>
          <w:rFonts w:ascii="Times New Roman" w:eastAsia="Arial" w:hAnsi="Times New Roman" w:cs="Times New Roman"/>
          <w:b/>
          <w:i/>
          <w:sz w:val="28"/>
          <w:szCs w:val="28"/>
          <w:lang w:val="vi-VN"/>
        </w:rPr>
        <w:t>Phạm vi của (các) cơ sở dữ liệu:</w:t>
      </w:r>
    </w:p>
    <w:p w:rsidR="00705032" w:rsidRPr="008354C2" w:rsidRDefault="00705032" w:rsidP="00705032">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Cơ sở dữ liệu y tế tổng hợp của NICB:</w:t>
      </w:r>
    </w:p>
    <w:p w:rsidR="00705032" w:rsidRPr="008354C2" w:rsidRDefault="00705032" w:rsidP="00705032">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(a) tổng hợp dữ liệu hóa đơn y tế từ các công ty thành viên NICB; và</w:t>
      </w:r>
    </w:p>
    <w:p w:rsidR="00705032" w:rsidRPr="008354C2" w:rsidRDefault="00705032" w:rsidP="00705032">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(b) áp dụng các điều kiện gian lận đối với dữ liệu tổng hợp và xác định các nhà cung cấp dịch vụ y tế đáng ngờ.</w:t>
      </w:r>
    </w:p>
    <w:p w:rsidR="00705032" w:rsidRPr="008354C2" w:rsidRDefault="00705032" w:rsidP="00705032">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Trang tổng quan về khiếu nại có nghi vấn cho thành viên của NICB hỗ trợ phân tích tổng hợp thông tin khiếu nại có vấn đề do các công ty thành viên gửi.</w:t>
      </w:r>
    </w:p>
    <w:p w:rsidR="00705032" w:rsidRPr="008354C2" w:rsidRDefault="00705032" w:rsidP="00705032">
      <w:pPr>
        <w:spacing w:before="120" w:after="120"/>
        <w:jc w:val="both"/>
        <w:rPr>
          <w:rFonts w:ascii="Times New Roman" w:eastAsia="Calibri" w:hAnsi="Times New Roman" w:cs="Times New Roman"/>
          <w:sz w:val="28"/>
          <w:szCs w:val="28"/>
          <w:lang w:val="vi-VN"/>
        </w:rPr>
      </w:pPr>
      <w:r w:rsidRPr="008354C2">
        <w:rPr>
          <w:rFonts w:ascii="Times New Roman" w:eastAsia="Calibri" w:hAnsi="Times New Roman" w:cs="Times New Roman"/>
          <w:sz w:val="28"/>
          <w:szCs w:val="28"/>
          <w:lang w:val="vi-VN"/>
        </w:rPr>
        <w:t>- Cơ sở dữ liệu ForeWARN của NICB cho phép các công ty thành viên tìm kiếm xem một bên có hành vi gian lận trong quá khứ hay không và thu thập thông tin bổ sung để phát triển các mô hình và xu hướng gian lận.</w:t>
      </w:r>
    </w:p>
    <w:p w:rsidR="00705032" w:rsidRPr="008354C2" w:rsidRDefault="00705032" w:rsidP="00705032">
      <w:pPr>
        <w:spacing w:before="120" w:after="120"/>
        <w:jc w:val="both"/>
        <w:rPr>
          <w:rFonts w:ascii="Times New Roman" w:eastAsia="Calibri" w:hAnsi="Times New Roman" w:cs="Times New Roman"/>
          <w:b/>
          <w:i/>
          <w:sz w:val="28"/>
          <w:szCs w:val="28"/>
          <w:lang w:val="vi-VN"/>
        </w:rPr>
      </w:pPr>
      <w:r w:rsidRPr="008354C2">
        <w:rPr>
          <w:rFonts w:ascii="Times New Roman" w:eastAsia="Calibri" w:hAnsi="Times New Roman" w:cs="Times New Roman"/>
          <w:b/>
          <w:i/>
          <w:sz w:val="28"/>
          <w:szCs w:val="28"/>
          <w:lang w:val="vi-VN"/>
        </w:rPr>
        <w:t>Sử dụng phân tích dữ liệu để phát hiện gian lận bảo hiểm</w:t>
      </w:r>
    </w:p>
    <w:p w:rsidR="00705032" w:rsidRPr="008354C2" w:rsidRDefault="00705032" w:rsidP="004F0880">
      <w:pPr>
        <w:spacing w:before="12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Mô hình dự đoán:  Cơ sở dữ liệu của NICB giúp xác định các trường hợp có khả năng gian lận bảo hiểm trước khi yêu cầu bồi thường. Tiềm năng dự đoán các lỗ hổng trong quy trình yêu cầu bồi thường đang hấp dẫn các công ty bảo hiểm, vì họ có thể hành động để ngăn chặn hơn là để giải quyết gian lận.</w:t>
      </w:r>
    </w:p>
    <w:p w:rsidR="00705032" w:rsidRPr="008354C2" w:rsidRDefault="00705032" w:rsidP="004F0880">
      <w:pPr>
        <w:spacing w:before="12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Công nghệ chuỗi khối được một số công ty bảo hiểm sử dụng để (a) loại bỏ việc đặt phòng hai lần hoặc xử lý nhiều khiếu nại do cùng một vụ tai nạn; và (b) thiết lập tính xác thực của các tài liệu bằng cách giảm thiểu việc làm giả tài liệu.</w:t>
      </w:r>
    </w:p>
    <w:p w:rsidR="00705032" w:rsidRPr="008354C2" w:rsidRDefault="00705032" w:rsidP="004F0880">
      <w:pPr>
        <w:spacing w:before="12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Khai thác văn bản:  một số công ty bảo hiểm sử dụng phân tích văn bản để xác định các dạng gian lận trong dữ liệu phi cấu trúc, chẳng hạn như báo cáo y tế, ghi chú của người điều chỉnh tổn thất, email và mô tả tai nạn.</w:t>
      </w:r>
    </w:p>
    <w:p w:rsidR="00705032" w:rsidRPr="008354C2" w:rsidRDefault="000649B8" w:rsidP="004F0880">
      <w:pPr>
        <w:spacing w:before="120" w:after="6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4</w:t>
      </w:r>
      <w:r w:rsidR="00705032" w:rsidRPr="008354C2">
        <w:rPr>
          <w:rFonts w:ascii="Times New Roman" w:eastAsia="Arial" w:hAnsi="Times New Roman" w:cs="Times New Roman"/>
          <w:b/>
          <w:sz w:val="28"/>
          <w:szCs w:val="28"/>
          <w:lang w:val="vi-VN"/>
        </w:rPr>
        <w:t>. Quy định về các biện pháp can thiệp của cơ quan quản lý trong trường hợp doanh nghiệp bảo hiểm không đáp ứng yêu cầu về vốn trên cơ sở rủi ro</w:t>
      </w:r>
    </w:p>
    <w:p w:rsidR="00705032" w:rsidRPr="008354C2" w:rsidRDefault="00705032" w:rsidP="004F0880">
      <w:pPr>
        <w:spacing w:before="6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Tại các quốc gia đã có những quy định về biên khả năng thanh toán của các doanh nghiệp bảo hiểm, cũng như các biện pháp trong trường hợp doanh nghiệp không đáp ứng yêu cầu về vốn, cụ thể như sau:</w:t>
      </w:r>
    </w:p>
    <w:p w:rsidR="00705032" w:rsidRPr="008354C2" w:rsidRDefault="000649B8" w:rsidP="004F0880">
      <w:pPr>
        <w:spacing w:before="120" w:after="60"/>
        <w:jc w:val="both"/>
        <w:rPr>
          <w:rFonts w:ascii="Times New Roman" w:eastAsia="Arial" w:hAnsi="Times New Roman" w:cs="Times New Roman"/>
          <w:b/>
          <w:sz w:val="28"/>
          <w:szCs w:val="28"/>
          <w:lang w:val="vi-VN"/>
        </w:rPr>
      </w:pPr>
      <w:r w:rsidRPr="008354C2">
        <w:rPr>
          <w:rFonts w:ascii="Times New Roman" w:eastAsia="Arial" w:hAnsi="Times New Roman" w:cs="Times New Roman"/>
          <w:b/>
          <w:sz w:val="28"/>
          <w:szCs w:val="28"/>
          <w:lang w:val="vi-VN"/>
        </w:rPr>
        <w:t>4</w:t>
      </w:r>
      <w:r w:rsidR="00705032" w:rsidRPr="008354C2">
        <w:rPr>
          <w:rFonts w:ascii="Times New Roman" w:eastAsia="Arial" w:hAnsi="Times New Roman" w:cs="Times New Roman"/>
          <w:b/>
          <w:sz w:val="28"/>
          <w:szCs w:val="28"/>
          <w:lang w:val="vi-VN"/>
        </w:rPr>
        <w:t xml:space="preserve">.1. Nhật Bản: </w:t>
      </w:r>
    </w:p>
    <w:p w:rsidR="00705032" w:rsidRPr="008354C2" w:rsidRDefault="00705032" w:rsidP="004F0880">
      <w:pPr>
        <w:spacing w:before="12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Pháp luật kinh doanh bảo hiểm của Nhật bản quy định tỷ lệ biên khả năng thanh toán (Sovency margin ratio- SMR):</w:t>
      </w:r>
    </w:p>
    <w:p w:rsidR="00705032" w:rsidRPr="008354C2" w:rsidRDefault="00705032" w:rsidP="004F0880">
      <w:pPr>
        <w:tabs>
          <w:tab w:val="left" w:pos="851"/>
        </w:tabs>
        <w:spacing w:before="120" w:after="60"/>
        <w:jc w:val="both"/>
        <w:rPr>
          <w:rFonts w:ascii="Times New Roman" w:eastAsia="Arial" w:hAnsi="Times New Roman" w:cs="Times New Roman"/>
          <w:sz w:val="28"/>
          <w:szCs w:val="28"/>
          <w:lang w:val="vi-VN"/>
        </w:rPr>
      </w:pPr>
      <w:r w:rsidRPr="008354C2">
        <w:rPr>
          <w:rFonts w:ascii="Times New Roman" w:eastAsia="Arial" w:hAnsi="Times New Roman" w:cs="Times New Roman"/>
          <w:sz w:val="28"/>
          <w:szCs w:val="28"/>
          <w:lang w:val="vi-VN"/>
        </w:rPr>
        <w:t>SMR = Biên khả năng thanh toán/(Tỷ lệ vốn tương ứng với rủi ro*1/2)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694"/>
        <w:gridCol w:w="4677"/>
      </w:tblGrid>
      <w:tr w:rsidR="00E640EC" w:rsidRPr="008354C2" w:rsidTr="001C16F2">
        <w:tc>
          <w:tcPr>
            <w:tcW w:w="1809" w:type="dxa"/>
          </w:tcPr>
          <w:p w:rsidR="00E640EC" w:rsidRPr="008354C2" w:rsidRDefault="00E640EC" w:rsidP="004F0880">
            <w:pPr>
              <w:tabs>
                <w:tab w:val="left" w:pos="851"/>
              </w:tabs>
              <w:spacing w:before="40" w:after="40" w:line="240"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Nhóm doanh nghiệp</w:t>
            </w:r>
          </w:p>
        </w:tc>
        <w:tc>
          <w:tcPr>
            <w:tcW w:w="2694" w:type="dxa"/>
          </w:tcPr>
          <w:p w:rsidR="00E640EC" w:rsidRPr="008354C2" w:rsidRDefault="00E640EC" w:rsidP="004F0880">
            <w:pPr>
              <w:tabs>
                <w:tab w:val="left" w:pos="851"/>
              </w:tabs>
              <w:spacing w:before="40" w:after="40" w:line="240"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Tỷ lệ biên khả năng thanh toán</w:t>
            </w:r>
          </w:p>
        </w:tc>
        <w:tc>
          <w:tcPr>
            <w:tcW w:w="4677" w:type="dxa"/>
          </w:tcPr>
          <w:p w:rsidR="00E640EC" w:rsidRPr="008354C2" w:rsidRDefault="00E640EC" w:rsidP="004F0880">
            <w:pPr>
              <w:tabs>
                <w:tab w:val="left" w:pos="851"/>
              </w:tabs>
              <w:spacing w:before="40" w:after="40" w:line="240" w:lineRule="auto"/>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Biện pháp áp dụng</w:t>
            </w:r>
          </w:p>
        </w:tc>
      </w:tr>
      <w:tr w:rsidR="00E640EC" w:rsidRPr="008354C2" w:rsidTr="001C16F2">
        <w:tc>
          <w:tcPr>
            <w:tcW w:w="1809"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p>
        </w:tc>
        <w:tc>
          <w:tcPr>
            <w:tcW w:w="2694"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&gt;= 200%</w:t>
            </w:r>
          </w:p>
        </w:tc>
        <w:tc>
          <w:tcPr>
            <w:tcW w:w="4677"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Không cần áp dụng biện pháp, doanh nghiệp hoạt động bình thường </w:t>
            </w:r>
          </w:p>
        </w:tc>
      </w:tr>
      <w:tr w:rsidR="00E640EC" w:rsidRPr="008354C2" w:rsidTr="001C16F2">
        <w:tc>
          <w:tcPr>
            <w:tcW w:w="1809"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Nhóm 1</w:t>
            </w:r>
          </w:p>
        </w:tc>
        <w:tc>
          <w:tcPr>
            <w:tcW w:w="2694"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100%  đến dưới 200%</w:t>
            </w:r>
          </w:p>
        </w:tc>
        <w:tc>
          <w:tcPr>
            <w:tcW w:w="4677"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Xây dựng và đệ trình phương án cải thiện khả năng thanh toán </w:t>
            </w:r>
          </w:p>
        </w:tc>
      </w:tr>
      <w:tr w:rsidR="00E640EC" w:rsidRPr="008354C2" w:rsidTr="001C16F2">
        <w:tc>
          <w:tcPr>
            <w:tcW w:w="1809"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Nhóm 2</w:t>
            </w:r>
          </w:p>
        </w:tc>
        <w:tc>
          <w:tcPr>
            <w:tcW w:w="2694"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0% đến dưới 100%</w:t>
            </w:r>
          </w:p>
        </w:tc>
        <w:tc>
          <w:tcPr>
            <w:tcW w:w="4677"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w:t>
            </w:r>
            <w:r w:rsidR="0049667A" w:rsidRPr="008354C2">
              <w:rPr>
                <w:rFonts w:ascii="Times New Roman" w:eastAsia="Arial" w:hAnsi="Times New Roman" w:cs="Times New Roman"/>
                <w:sz w:val="28"/>
                <w:szCs w:val="28"/>
              </w:rPr>
              <w:t xml:space="preserve"> </w:t>
            </w:r>
            <w:r w:rsidRPr="008354C2">
              <w:rPr>
                <w:rFonts w:ascii="Times New Roman" w:eastAsia="Arial" w:hAnsi="Times New Roman" w:cs="Times New Roman"/>
                <w:sz w:val="28"/>
                <w:szCs w:val="28"/>
              </w:rPr>
              <w:t>Xây dựng và triển khai phương án khôi phục khả năng thanh toán</w:t>
            </w:r>
          </w:p>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w:t>
            </w:r>
            <w:r w:rsidR="0049667A" w:rsidRPr="008354C2">
              <w:rPr>
                <w:rFonts w:ascii="Times New Roman" w:eastAsia="Arial" w:hAnsi="Times New Roman" w:cs="Times New Roman"/>
                <w:sz w:val="28"/>
                <w:szCs w:val="28"/>
              </w:rPr>
              <w:t xml:space="preserve"> </w:t>
            </w:r>
            <w:r w:rsidRPr="008354C2">
              <w:rPr>
                <w:rFonts w:ascii="Times New Roman" w:eastAsia="Arial" w:hAnsi="Times New Roman" w:cs="Times New Roman"/>
                <w:sz w:val="28"/>
                <w:szCs w:val="28"/>
              </w:rPr>
              <w:t xml:space="preserve">Dừng hoặc giảm việc chia lãi cho khách hàng </w:t>
            </w:r>
          </w:p>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w:t>
            </w:r>
            <w:r w:rsidR="0049667A" w:rsidRPr="008354C2">
              <w:rPr>
                <w:rFonts w:ascii="Times New Roman" w:eastAsia="Arial" w:hAnsi="Times New Roman" w:cs="Times New Roman"/>
                <w:sz w:val="28"/>
                <w:szCs w:val="28"/>
              </w:rPr>
              <w:t xml:space="preserve"> </w:t>
            </w:r>
            <w:r w:rsidRPr="008354C2">
              <w:rPr>
                <w:rFonts w:ascii="Times New Roman" w:eastAsia="Arial" w:hAnsi="Times New Roman" w:cs="Times New Roman"/>
                <w:sz w:val="28"/>
                <w:szCs w:val="28"/>
              </w:rPr>
              <w:t xml:space="preserve">Thay đổi lại việc tính toán phí bảo hiểm </w:t>
            </w:r>
          </w:p>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w:t>
            </w:r>
            <w:r w:rsidR="0049667A" w:rsidRPr="008354C2">
              <w:rPr>
                <w:rFonts w:ascii="Times New Roman" w:eastAsia="Arial" w:hAnsi="Times New Roman" w:cs="Times New Roman"/>
                <w:sz w:val="28"/>
                <w:szCs w:val="28"/>
              </w:rPr>
              <w:t xml:space="preserve"> </w:t>
            </w:r>
            <w:r w:rsidRPr="008354C2">
              <w:rPr>
                <w:rFonts w:ascii="Times New Roman" w:eastAsia="Arial" w:hAnsi="Times New Roman" w:cs="Times New Roman"/>
                <w:sz w:val="28"/>
                <w:szCs w:val="28"/>
              </w:rPr>
              <w:t xml:space="preserve">Cấm hoặc hạn chế việc trả thưởng cho ban giám đốc, giảm thiểu các chi phí hoạt động </w:t>
            </w:r>
          </w:p>
        </w:tc>
      </w:tr>
      <w:tr w:rsidR="00E640EC" w:rsidRPr="008354C2" w:rsidTr="001C16F2">
        <w:tc>
          <w:tcPr>
            <w:tcW w:w="1809"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Nhóm 3</w:t>
            </w:r>
          </w:p>
        </w:tc>
        <w:tc>
          <w:tcPr>
            <w:tcW w:w="2694"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Dưới 0%</w:t>
            </w:r>
          </w:p>
        </w:tc>
        <w:tc>
          <w:tcPr>
            <w:tcW w:w="4677" w:type="dxa"/>
          </w:tcPr>
          <w:p w:rsidR="00E640EC" w:rsidRPr="008354C2" w:rsidRDefault="00E640EC" w:rsidP="004F0880">
            <w:pPr>
              <w:tabs>
                <w:tab w:val="left" w:pos="851"/>
              </w:tabs>
              <w:spacing w:before="40" w:after="40" w:line="240" w:lineRule="auto"/>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Dừng một phần hoặc toàn bộ hoạt động của doanh nghiệp trong thời hạn nhất định</w:t>
            </w:r>
          </w:p>
        </w:tc>
      </w:tr>
    </w:tbl>
    <w:p w:rsidR="008B530A" w:rsidRPr="008354C2" w:rsidRDefault="008B530A" w:rsidP="000657D8">
      <w:pPr>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Trường hợp một doanh nghiệp thấy biên khả năng thanh toán của mình rơi từ nhóm 2 xuống nhóm 3, nhưng doanh nghiệp kịp thời đệ trình cho FSA một kế hoạch khôi phục khả năng thanh toán và được FSA đánh giá là phù hợp để khôi phục khả năng thanh toán, thì nhóm phân loại của doanh nghiệp đó sẽ được FSA xác định dựa trên những kết quả dự kiến của kế hoạch khôi phục khả năng thanh toán. Trường hợp FSA kết luận là kế hoạch do doanh nghiệp đệ trình không phù hợp thì xếp loại của doanh nghiệp sẽ được xác định tương ứng với biên khả năng thanh toán (nhóm 3).</w:t>
      </w:r>
    </w:p>
    <w:p w:rsidR="008B530A" w:rsidRPr="008354C2" w:rsidRDefault="008B530A" w:rsidP="001C16F2">
      <w:pPr>
        <w:spacing w:after="16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Cho dù một doanh nghiệp bảo hiểm bị rơi xuống nhóm 3, cơ quan quản lý bảo hiểm vẫn có thể ra quyết định chỉ áp dụng các biện pháp của nhóm 2 khi tổng tài sản của doanh nghiệp vẫn lớn hơn tổng nợ phải trả của doanh nghiệp đó. Ngược lại, dù một doanh nghiệp được xếp vào nhóm 2 theo tỷ lệ biên khả năng thanh toán, tuy nhiên, tổng tài sản của doanh nghiệp xuống thấp hơn tổng nợ phải trả, FSA có quyền quyền định áp dụng các biện pháp của nhóm 3.</w:t>
      </w:r>
    </w:p>
    <w:p w:rsidR="008B530A" w:rsidRPr="008354C2" w:rsidRDefault="008B530A" w:rsidP="005067C5">
      <w:pPr>
        <w:tabs>
          <w:tab w:val="left" w:pos="567"/>
          <w:tab w:val="left" w:pos="993"/>
        </w:tabs>
        <w:spacing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Ngoài các biện pháp khôi phục khả năng thanh toán, nhằm kịp thời phát hiện các vấn đề trong hoạt động của doanh nghiệp, bắt đầu từ năm 2003, cơ quan quản lý cũng bổ sung các quy định của Nhật bản liên quan đến hệ thống cảnh báo sớm. Dựa trên các kết quả quản lý, giám sát và các chỉ tiêu cảnh báo sớm, FSA có thể  đưa ra các biện pháp cần thiết để tăng cường công tác quản trị, điều hành của một doanh nghiệp ngay cả khi tỷ lệ biên khả năng thanh toán của doanh nghiệp vẫn duy trì ở mức lớn hơn 200%.</w:t>
      </w:r>
    </w:p>
    <w:p w:rsidR="008B530A" w:rsidRPr="008354C2" w:rsidRDefault="008B530A" w:rsidP="001C16F2">
      <w:pPr>
        <w:spacing w:after="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Khi thấy cần thiết phải bảo vệ các Chủ hợp đồng bảo hiểm tại Nhật Bản bằng cách đảm bảo quản lý chắc chắn và hợp lý Công ty bảo hiểm nước ngoài tại Nhật Bản trong tình hình kinh doanh hoặc tài sản của Công ty bảo hiểm nước ngoài, Thủ tướng có thể yêu cầu Công ty bảo hiểm nước ngoài gửi kế hoạch cải tổ để đảm bảo tính hợp lý trong quản lý của Công ty bảo hiểm nước ngoài tại Nhật Bản hoặc yêu cầu thay đổi kế hoạch cải tổ đã được trình lên bằng cách chỉ định các vấn đề và thời hạn cần thực hiện các biện pháp, hoặc trong phạm vi cần thiết, lệnh ngừng toàn bộ hoặc một phần hoạt động kinh doanh của Công ty bảo hiểm nước ngoài đó bằng cách đặt giới hạn hoặc đặt cọc tài sản của Công ty bảo hiểm nước ngoài đó hoặc các biện pháp cần thiết cho mục đích giám sát. Một pháp lệnh theo khoản nêu trên (bao gồm cả yêu cầu trình lên một kế hoạch cải tổ) được đưa ra khi thấy cần thiết và đầy đủ căn cứ (bao gồm cả yêu cầu trình lên một chương trình cải tiến) là việc cần thiết trong tình huống tăng cường khả năng thanh toán cho các yêu cầu bồi thường bảo hiểm của một Công ty bảo hiểm nước ngoài, các pháp lệnh sẽ là một trong những pháp lệnh được chỉ định bởi Pháp lệnh của Văn phòng Nội các và Pháp lệnh của Bộ trưởng Tài chính về các loại danh mục tính toán đầy đủ để thanh toán các yêu cầu bồi thường bảo hiểm của Công ty bảo hiểm nước ngoài.</w:t>
      </w:r>
    </w:p>
    <w:p w:rsidR="008B530A" w:rsidRPr="008354C2" w:rsidRDefault="000649B8" w:rsidP="001C16F2">
      <w:pPr>
        <w:tabs>
          <w:tab w:val="left" w:pos="567"/>
          <w:tab w:val="left" w:pos="993"/>
        </w:tabs>
        <w:spacing w:before="120" w:after="120"/>
        <w:jc w:val="both"/>
        <w:rPr>
          <w:rFonts w:ascii="Times New Roman" w:eastAsia="Arial" w:hAnsi="Times New Roman" w:cs="Times New Roman"/>
          <w:b/>
          <w:sz w:val="28"/>
          <w:szCs w:val="28"/>
        </w:rPr>
      </w:pPr>
      <w:r w:rsidRPr="008354C2">
        <w:rPr>
          <w:rFonts w:ascii="Times New Roman" w:eastAsia="Arial" w:hAnsi="Times New Roman" w:cs="Times New Roman"/>
          <w:b/>
          <w:sz w:val="28"/>
          <w:szCs w:val="28"/>
        </w:rPr>
        <w:t>4</w:t>
      </w:r>
      <w:r w:rsidR="008B530A" w:rsidRPr="008354C2">
        <w:rPr>
          <w:rFonts w:ascii="Times New Roman" w:eastAsia="Arial" w:hAnsi="Times New Roman" w:cs="Times New Roman"/>
          <w:b/>
          <w:sz w:val="28"/>
          <w:szCs w:val="28"/>
        </w:rPr>
        <w:t>.2. Hàn Quốc</w:t>
      </w:r>
    </w:p>
    <w:p w:rsidR="008B530A" w:rsidRPr="008354C2" w:rsidRDefault="008B530A" w:rsidP="001C16F2">
      <w:pPr>
        <w:shd w:val="clear" w:color="auto" w:fill="FFFFFF"/>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Khung quy định để xử lý các công ty bảo hiểm hoặc tái bảo hiểm gặp khó khăn hoặc mất khả</w:t>
      </w:r>
      <w:r w:rsidR="001C16F2" w:rsidRPr="008354C2">
        <w:rPr>
          <w:rFonts w:ascii="Times New Roman" w:eastAsia="Arial" w:hAnsi="Times New Roman" w:cs="Times New Roman"/>
          <w:sz w:val="28"/>
          <w:szCs w:val="28"/>
        </w:rPr>
        <w:t xml:space="preserve"> năng thanh toán</w:t>
      </w:r>
      <w:r w:rsidRPr="008354C2">
        <w:rPr>
          <w:rFonts w:ascii="Times New Roman" w:eastAsia="Arial" w:hAnsi="Times New Roman" w:cs="Times New Roman"/>
          <w:sz w:val="28"/>
          <w:szCs w:val="28"/>
        </w:rPr>
        <w:t>:</w:t>
      </w:r>
    </w:p>
    <w:p w:rsidR="008B530A" w:rsidRPr="008354C2" w:rsidRDefault="008B530A" w:rsidP="001C16F2">
      <w:pPr>
        <w:shd w:val="clear" w:color="auto" w:fill="FFFFFF"/>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Luật bảo hiểm Hàn Quốc hiện hành yêu cầu các công ty tài chính phải có tỷ lệ RBC ít nhất là 100%. Ủy ban giám sát tài chính quốc gia (FSC) khuyến nghị RBC tối thiểu là 150 phần trăm mới là an toàn. (mục 2.6.3 trang 9 Regulation on supervision of Ins business))</w:t>
      </w:r>
    </w:p>
    <w:p w:rsidR="008B530A" w:rsidRPr="008354C2" w:rsidRDefault="008B530A" w:rsidP="001C16F2">
      <w:pPr>
        <w:shd w:val="clear" w:color="auto" w:fill="FFFFFF"/>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Nếu tình trạng tài chính của công ty bảo hiểm hoặc tái bảo hiểm không đáp ứng được các tiêu chuẩn nhất định do FSC yêu cầu, FSC có thể thực hiện các biện pháp để cải thiện tình trạng tài chính của công ty bảo hiểm hoặc tái bảo hiểm, chẳng hạn như:</w:t>
      </w:r>
    </w:p>
    <w:p w:rsidR="008B530A" w:rsidRPr="008354C2" w:rsidRDefault="008B530A" w:rsidP="001C16F2">
      <w:pPr>
        <w:shd w:val="clear" w:color="auto" w:fill="FFFFFF"/>
        <w:tabs>
          <w:tab w:val="left" w:pos="993"/>
        </w:tabs>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 Ra Quyết định cảnh cáo hoặc khiển trách đối với doanh nghiệp bảo hiểm hoặc doanh nghiệp tái bảo hiểm.</w:t>
      </w:r>
    </w:p>
    <w:p w:rsidR="008B530A" w:rsidRPr="008354C2" w:rsidRDefault="008B530A" w:rsidP="001C16F2">
      <w:pPr>
        <w:shd w:val="clear" w:color="auto" w:fill="FFFFFF"/>
        <w:tabs>
          <w:tab w:val="left" w:pos="993"/>
        </w:tabs>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Yêu cầu hoặc ra lệnh giảm lương ban quản lý.</w:t>
      </w:r>
    </w:p>
    <w:p w:rsidR="008B530A" w:rsidRPr="008354C2" w:rsidRDefault="008B530A" w:rsidP="001C16F2">
      <w:pPr>
        <w:shd w:val="clear" w:color="auto" w:fill="FFFFFF"/>
        <w:tabs>
          <w:tab w:val="left" w:pos="993"/>
        </w:tabs>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ml:space="preserve">- Tăng hoặc giảm vốn. </w:t>
      </w:r>
    </w:p>
    <w:p w:rsidR="008B530A" w:rsidRPr="008354C2" w:rsidRDefault="008B530A" w:rsidP="001C16F2">
      <w:pPr>
        <w:shd w:val="clear" w:color="auto" w:fill="FFFFFF"/>
        <w:tabs>
          <w:tab w:val="left" w:pos="993"/>
        </w:tabs>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 Xử lý tài sản của doanh nghiệp bảo hiểm / tái bảo hiểm. (theo Đạo luật về Cải thiện Cơ cấu của Ngành Tài chính).</w:t>
      </w:r>
    </w:p>
    <w:p w:rsidR="008B530A" w:rsidRPr="008354C2" w:rsidRDefault="008B530A" w:rsidP="001C16F2">
      <w:pPr>
        <w:shd w:val="clear" w:color="auto" w:fill="FFFFFF"/>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Nếu một công ty bảo hiểm mất khả năng thanh toán, chính phủ nói chung sẽ bơm quỹ công vào công ty bảo hiểm để bình thường hóa và tìm kiếm bên thứ ba mua lại công ty bảo hiểm theo Luật Kinh doanh bảo hiểm (IBL) hoặc Đạo luật về Cải thiện Cơ cấu của Ngành Tài chính. Không có bên mua bảo hiểm hoặc người được bảo hiểm nào bị thiệt hại do công ty bảo hiểm mất khả năng thanh toán.</w:t>
      </w:r>
    </w:p>
    <w:p w:rsidR="008B530A" w:rsidRPr="008354C2" w:rsidRDefault="008B530A" w:rsidP="001C16F2">
      <w:pPr>
        <w:shd w:val="clear" w:color="auto" w:fill="FFFFFF"/>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Quy định và / hoặc các biện pháp bảo vệ khác cho các chủ hợp đồng bảo hiểm chống lại công ty bảo hiểm mất khả năng thanh toán :</w:t>
      </w:r>
    </w:p>
    <w:p w:rsidR="008B530A" w:rsidRPr="008354C2" w:rsidRDefault="008B530A" w:rsidP="001C16F2">
      <w:pPr>
        <w:shd w:val="clear" w:color="auto" w:fill="FFFFFF"/>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Các chủ hợp đồng được bảo hiểm lên tới 50 triệu KRW ( 50K$) theo Đạo luật Bảo vệ Người gửi tiền. IBL cũng quy định quyền ưu đãi của chủ hợp đồng bảo hiểm để nhận thanh toán từ số tiền dành cho người được bảo hiểm.</w:t>
      </w:r>
    </w:p>
    <w:p w:rsidR="008B530A" w:rsidRPr="008354C2" w:rsidRDefault="008B530A" w:rsidP="001C16F2">
      <w:pPr>
        <w:shd w:val="clear" w:color="auto" w:fill="FFFFFF"/>
        <w:spacing w:before="120" w:after="120"/>
        <w:jc w:val="both"/>
        <w:rPr>
          <w:rFonts w:ascii="Times New Roman" w:eastAsia="Arial" w:hAnsi="Times New Roman" w:cs="Times New Roman"/>
          <w:sz w:val="28"/>
          <w:szCs w:val="28"/>
        </w:rPr>
      </w:pPr>
      <w:r w:rsidRPr="008354C2">
        <w:rPr>
          <w:rFonts w:ascii="Times New Roman" w:eastAsia="Arial" w:hAnsi="Times New Roman" w:cs="Times New Roman"/>
          <w:sz w:val="28"/>
          <w:szCs w:val="28"/>
        </w:rPr>
        <w:t>IBL cũng bảo vệ các bên thứ ba liên quan đến bảo hiểm trách nhiệm hoặc bảo hiểm ô tô. Nếu bên thứ ba bị thiệt hại hoặc thương tật nhưng doanh nghiệp bảo hiểm không thể thanh toán các khiếu nại do mất khả năng thanh toán hoặc các lý do khác, Tổng Hiệp hội Bảo hiểm Hàn Quốc sẽ thanh toán các khoản bồi thường cho các bên thứ ba bị ảnh hưởng thay vì công ty bảo hiểm.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8"/>
        <w:gridCol w:w="2758"/>
        <w:gridCol w:w="4500"/>
      </w:tblGrid>
      <w:tr w:rsidR="001C16F2" w:rsidRPr="008354C2" w:rsidTr="001C16F2">
        <w:tc>
          <w:tcPr>
            <w:tcW w:w="2028" w:type="dxa"/>
          </w:tcPr>
          <w:p w:rsidR="001C16F2" w:rsidRPr="008354C2" w:rsidRDefault="001C16F2" w:rsidP="001C16F2">
            <w:pPr>
              <w:spacing w:before="40" w:after="40"/>
              <w:jc w:val="center"/>
              <w:textAlignment w:val="baseline"/>
              <w:rPr>
                <w:rFonts w:ascii="Times New Roman" w:eastAsia="Arial" w:hAnsi="Times New Roman" w:cs="Times New Roman"/>
                <w:b/>
                <w:sz w:val="28"/>
                <w:szCs w:val="28"/>
              </w:rPr>
            </w:pPr>
            <w:r w:rsidRPr="008354C2">
              <w:rPr>
                <w:rFonts w:ascii="Times New Roman" w:eastAsia="MS PGothic" w:hAnsi="Times New Roman" w:cs="Times New Roman"/>
                <w:b/>
                <w:bCs/>
                <w:kern w:val="24"/>
                <w:sz w:val="28"/>
                <w:szCs w:val="28"/>
                <w:lang w:eastAsia="vi-VN"/>
              </w:rPr>
              <w:t>Mức độ</w:t>
            </w:r>
          </w:p>
        </w:tc>
        <w:tc>
          <w:tcPr>
            <w:tcW w:w="2758" w:type="dxa"/>
          </w:tcPr>
          <w:p w:rsidR="001C16F2" w:rsidRPr="008354C2" w:rsidRDefault="001C16F2" w:rsidP="001C16F2">
            <w:pPr>
              <w:spacing w:before="40" w:after="40"/>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Biên KNTT</w:t>
            </w:r>
          </w:p>
        </w:tc>
        <w:tc>
          <w:tcPr>
            <w:tcW w:w="4500" w:type="dxa"/>
          </w:tcPr>
          <w:p w:rsidR="001C16F2" w:rsidRPr="008354C2" w:rsidRDefault="001C16F2" w:rsidP="001C16F2">
            <w:pPr>
              <w:spacing w:before="40" w:after="40"/>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rPr>
              <w:t>Biện pháp quản lý</w:t>
            </w:r>
          </w:p>
        </w:tc>
      </w:tr>
      <w:tr w:rsidR="001C16F2" w:rsidRPr="008354C2" w:rsidTr="001C16F2">
        <w:tc>
          <w:tcPr>
            <w:tcW w:w="2028" w:type="dxa"/>
          </w:tcPr>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bCs/>
                <w:kern w:val="24"/>
                <w:sz w:val="28"/>
                <w:szCs w:val="28"/>
                <w:lang w:eastAsia="vi-VN"/>
              </w:rPr>
              <w:t>Khuyến cáo tăng cường cải thiện hoạt động quản lý</w:t>
            </w:r>
            <w:r w:rsidRPr="008354C2">
              <w:rPr>
                <w:rFonts w:ascii="Times New Roman" w:eastAsia="HYHeadLine-Medium" w:hAnsi="Times New Roman" w:cs="Times New Roman"/>
                <w:bCs/>
                <w:kern w:val="24"/>
                <w:sz w:val="28"/>
                <w:szCs w:val="28"/>
                <w:lang w:eastAsia="ko-KR"/>
              </w:rPr>
              <w:t xml:space="preserve"> </w:t>
            </w:r>
          </w:p>
          <w:p w:rsidR="001C16F2" w:rsidRPr="008354C2" w:rsidRDefault="001C16F2" w:rsidP="001C16F2">
            <w:pPr>
              <w:spacing w:before="40" w:after="40"/>
              <w:rPr>
                <w:rFonts w:ascii="Times New Roman" w:eastAsia="Arial" w:hAnsi="Times New Roman" w:cs="Times New Roman"/>
                <w:sz w:val="28"/>
                <w:szCs w:val="28"/>
              </w:rPr>
            </w:pPr>
          </w:p>
        </w:tc>
        <w:tc>
          <w:tcPr>
            <w:tcW w:w="2758" w:type="dxa"/>
          </w:tcPr>
          <w:p w:rsidR="001C16F2" w:rsidRPr="008354C2" w:rsidRDefault="001C16F2" w:rsidP="001C16F2">
            <w:pPr>
              <w:spacing w:before="40" w:after="40"/>
              <w:rPr>
                <w:rFonts w:ascii="Times New Roman" w:eastAsia="MS PGothic" w:hAnsi="Times New Roman" w:cs="Times New Roman"/>
                <w:kern w:val="24"/>
                <w:sz w:val="28"/>
                <w:szCs w:val="28"/>
              </w:rPr>
            </w:pPr>
            <w:r w:rsidRPr="008354C2">
              <w:rPr>
                <w:rFonts w:ascii="Times New Roman" w:eastAsia="MS PGothic" w:hAnsi="Times New Roman" w:cs="Times New Roman"/>
                <w:kern w:val="24"/>
                <w:sz w:val="28"/>
                <w:szCs w:val="28"/>
              </w:rPr>
              <w:t xml:space="preserve">50% =&lt; Biên KNTT &lt;100% </w:t>
            </w:r>
          </w:p>
          <w:p w:rsidR="001C16F2" w:rsidRPr="008354C2" w:rsidRDefault="001C16F2" w:rsidP="001C16F2">
            <w:pPr>
              <w:spacing w:before="40" w:after="40"/>
              <w:rPr>
                <w:rFonts w:ascii="Times New Roman" w:eastAsia="Arial" w:hAnsi="Times New Roman" w:cs="Times New Roman"/>
                <w:b/>
                <w:sz w:val="28"/>
                <w:szCs w:val="28"/>
              </w:rPr>
            </w:pPr>
          </w:p>
        </w:tc>
        <w:tc>
          <w:tcPr>
            <w:tcW w:w="4500" w:type="dxa"/>
          </w:tcPr>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Tăng hoặc giảm vốn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Cắt giảm chi phí hoạt động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Thành lập kế hoạch kinh doanh cải thiện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Thanh lý hoặc loại bỏ tài sản xấu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Hạn chế trong Quỹ chủ hợp đồng và quỹ chủ sở hữu.</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Hạn chế trong đầu tư tài sản cố định …</w:t>
            </w:r>
          </w:p>
        </w:tc>
      </w:tr>
      <w:tr w:rsidR="001C16F2" w:rsidRPr="008354C2" w:rsidTr="001C16F2">
        <w:tc>
          <w:tcPr>
            <w:tcW w:w="2028" w:type="dxa"/>
          </w:tcPr>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bCs/>
                <w:kern w:val="24"/>
                <w:sz w:val="28"/>
                <w:szCs w:val="28"/>
                <w:lang w:eastAsia="vi-VN"/>
              </w:rPr>
              <w:t>Yêu cầu tăng cường quản lý</w:t>
            </w:r>
            <w:r w:rsidRPr="008354C2">
              <w:rPr>
                <w:rFonts w:ascii="Times New Roman" w:eastAsia="HYHeadLine-Medium" w:hAnsi="Times New Roman" w:cs="Times New Roman"/>
                <w:bCs/>
                <w:kern w:val="24"/>
                <w:sz w:val="28"/>
                <w:szCs w:val="28"/>
                <w:lang w:eastAsia="ko-KR"/>
              </w:rPr>
              <w:t xml:space="preserve"> </w:t>
            </w:r>
          </w:p>
          <w:p w:rsidR="001C16F2" w:rsidRPr="008354C2" w:rsidRDefault="001C16F2" w:rsidP="001C16F2">
            <w:pPr>
              <w:spacing w:before="40" w:after="40"/>
              <w:rPr>
                <w:rFonts w:ascii="Times New Roman" w:eastAsia="Arial" w:hAnsi="Times New Roman" w:cs="Times New Roman"/>
                <w:sz w:val="28"/>
                <w:szCs w:val="28"/>
              </w:rPr>
            </w:pPr>
          </w:p>
        </w:tc>
        <w:tc>
          <w:tcPr>
            <w:tcW w:w="2758" w:type="dxa"/>
          </w:tcPr>
          <w:p w:rsidR="001C16F2" w:rsidRPr="008354C2" w:rsidRDefault="001C16F2" w:rsidP="001C16F2">
            <w:pPr>
              <w:spacing w:before="40" w:after="40"/>
              <w:rPr>
                <w:rFonts w:ascii="Times New Roman" w:eastAsia="MS PGothic" w:hAnsi="Times New Roman" w:cs="Times New Roman"/>
                <w:kern w:val="24"/>
                <w:sz w:val="28"/>
                <w:szCs w:val="28"/>
              </w:rPr>
            </w:pPr>
            <w:r w:rsidRPr="008354C2">
              <w:rPr>
                <w:rFonts w:ascii="Times New Roman" w:eastAsia="MS PGothic" w:hAnsi="Times New Roman" w:cs="Times New Roman"/>
                <w:kern w:val="24"/>
                <w:sz w:val="28"/>
                <w:szCs w:val="28"/>
              </w:rPr>
              <w:t>0% =&lt; Biên KNTT &lt;50%</w:t>
            </w:r>
          </w:p>
          <w:p w:rsidR="001C16F2" w:rsidRPr="008354C2" w:rsidRDefault="001C16F2" w:rsidP="001C16F2">
            <w:pPr>
              <w:spacing w:before="40" w:after="40"/>
              <w:rPr>
                <w:rFonts w:ascii="Times New Roman" w:eastAsia="Arial" w:hAnsi="Times New Roman" w:cs="Times New Roman"/>
                <w:b/>
                <w:sz w:val="28"/>
                <w:szCs w:val="28"/>
              </w:rPr>
            </w:pPr>
          </w:p>
        </w:tc>
        <w:tc>
          <w:tcPr>
            <w:tcW w:w="4500" w:type="dxa"/>
          </w:tcPr>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Yêu cầu thay nhân viên phù hợp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Ngừng một số hoạt động kinh doanh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Sa thải nhân viên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Loại bỏ Tài sản Tái bảo hiểm…</w:t>
            </w:r>
          </w:p>
        </w:tc>
      </w:tr>
      <w:tr w:rsidR="001C16F2" w:rsidRPr="008354C2" w:rsidTr="001C16F2">
        <w:tc>
          <w:tcPr>
            <w:tcW w:w="2028" w:type="dxa"/>
          </w:tcPr>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bCs/>
                <w:kern w:val="24"/>
                <w:sz w:val="28"/>
                <w:szCs w:val="28"/>
                <w:lang w:eastAsia="vi-VN"/>
              </w:rPr>
              <w:t>Yêu cầu tăng cường quản lý</w:t>
            </w:r>
            <w:r w:rsidRPr="008354C2">
              <w:rPr>
                <w:rFonts w:ascii="Times New Roman" w:eastAsia="HYHeadLine-Medium" w:hAnsi="Times New Roman" w:cs="Times New Roman"/>
                <w:bCs/>
                <w:kern w:val="24"/>
                <w:sz w:val="28"/>
                <w:szCs w:val="28"/>
                <w:lang w:eastAsia="ko-KR"/>
              </w:rPr>
              <w:t xml:space="preserve"> </w:t>
            </w:r>
          </w:p>
          <w:p w:rsidR="001C16F2" w:rsidRPr="008354C2" w:rsidRDefault="001C16F2" w:rsidP="001C16F2">
            <w:pPr>
              <w:spacing w:before="40" w:after="40"/>
              <w:rPr>
                <w:rFonts w:ascii="Times New Roman" w:eastAsia="Arial" w:hAnsi="Times New Roman" w:cs="Times New Roman"/>
                <w:sz w:val="28"/>
                <w:szCs w:val="28"/>
              </w:rPr>
            </w:pPr>
          </w:p>
        </w:tc>
        <w:tc>
          <w:tcPr>
            <w:tcW w:w="2758" w:type="dxa"/>
          </w:tcPr>
          <w:p w:rsidR="001C16F2" w:rsidRPr="008354C2" w:rsidRDefault="001C16F2" w:rsidP="001C16F2">
            <w:pPr>
              <w:spacing w:before="40" w:after="40"/>
              <w:rPr>
                <w:rFonts w:ascii="Times New Roman" w:eastAsia="MS PGothic" w:hAnsi="Times New Roman" w:cs="Times New Roman"/>
                <w:kern w:val="24"/>
                <w:sz w:val="28"/>
                <w:szCs w:val="28"/>
              </w:rPr>
            </w:pPr>
            <w:r w:rsidRPr="008354C2">
              <w:rPr>
                <w:rFonts w:ascii="Times New Roman" w:eastAsia="MS PGothic" w:hAnsi="Times New Roman" w:cs="Times New Roman"/>
                <w:kern w:val="24"/>
                <w:sz w:val="28"/>
                <w:szCs w:val="28"/>
              </w:rPr>
              <w:t>Biên KNTT &lt;0%</w:t>
            </w:r>
          </w:p>
          <w:p w:rsidR="001C16F2" w:rsidRPr="008354C2" w:rsidRDefault="001C16F2" w:rsidP="001C16F2">
            <w:pPr>
              <w:spacing w:before="40" w:after="40"/>
              <w:rPr>
                <w:rFonts w:ascii="Times New Roman" w:eastAsia="Arial" w:hAnsi="Times New Roman" w:cs="Times New Roman"/>
                <w:b/>
                <w:sz w:val="28"/>
                <w:szCs w:val="28"/>
              </w:rPr>
            </w:pPr>
          </w:p>
        </w:tc>
        <w:tc>
          <w:tcPr>
            <w:tcW w:w="4500" w:type="dxa"/>
          </w:tcPr>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Thu hồi một phần hoặc toàn bộ cổ phiếu được phát hành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Đình chỉ hoạt động kinh doanh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Cách chức một số cán bộ và bổ nhiệm ban quản lý mới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Chuyển giao một phần hoặc toàn bộ hợp đồng bảo hiểm cho công ty bảo hiểm khác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 xml:space="preserve">Cho bên thứ 3 đảm nhiệm  hoạt động kinh doanh </w:t>
            </w:r>
          </w:p>
          <w:p w:rsidR="001C16F2" w:rsidRPr="008354C2" w:rsidRDefault="001C16F2" w:rsidP="001C16F2">
            <w:pPr>
              <w:spacing w:before="40" w:after="40"/>
              <w:textAlignment w:val="baseline"/>
              <w:rPr>
                <w:rFonts w:ascii="Times New Roman" w:eastAsia="Times New Roman" w:hAnsi="Times New Roman" w:cs="Times New Roman"/>
                <w:sz w:val="28"/>
                <w:szCs w:val="28"/>
                <w:lang w:eastAsia="vi-VN"/>
              </w:rPr>
            </w:pPr>
            <w:r w:rsidRPr="008354C2">
              <w:rPr>
                <w:rFonts w:ascii="Times New Roman" w:eastAsia="MS PGothic" w:hAnsi="Times New Roman" w:cs="Times New Roman"/>
                <w:kern w:val="24"/>
                <w:sz w:val="28"/>
                <w:szCs w:val="28"/>
                <w:lang w:eastAsia="vi-VN"/>
              </w:rPr>
              <w:t>Giao lại một phần hoạt độ</w:t>
            </w:r>
            <w:r w:rsidR="00621ED8" w:rsidRPr="008354C2">
              <w:rPr>
                <w:rFonts w:ascii="Times New Roman" w:eastAsia="MS PGothic" w:hAnsi="Times New Roman" w:cs="Times New Roman"/>
                <w:kern w:val="24"/>
                <w:sz w:val="28"/>
                <w:szCs w:val="28"/>
                <w:lang w:eastAsia="vi-VN"/>
              </w:rPr>
              <w:t xml:space="preserve">ng kinh doanh </w:t>
            </w:r>
          </w:p>
        </w:tc>
      </w:tr>
    </w:tbl>
    <w:p w:rsidR="001C16F2" w:rsidRPr="008354C2" w:rsidRDefault="000649B8" w:rsidP="001C16F2">
      <w:pPr>
        <w:spacing w:before="240" w:after="120"/>
        <w:jc w:val="both"/>
        <w:rPr>
          <w:rFonts w:ascii="Times New Roman" w:eastAsia="Arial" w:hAnsi="Times New Roman" w:cs="Times New Roman"/>
          <w:b/>
          <w:noProof/>
          <w:sz w:val="28"/>
          <w:szCs w:val="28"/>
        </w:rPr>
      </w:pPr>
      <w:r w:rsidRPr="008354C2">
        <w:rPr>
          <w:rFonts w:ascii="Times New Roman" w:eastAsia="Arial" w:hAnsi="Times New Roman" w:cs="Times New Roman"/>
          <w:b/>
          <w:noProof/>
          <w:sz w:val="28"/>
          <w:szCs w:val="28"/>
        </w:rPr>
        <w:t>4</w:t>
      </w:r>
      <w:r w:rsidR="001C16F2" w:rsidRPr="008354C2">
        <w:rPr>
          <w:rFonts w:ascii="Times New Roman" w:eastAsia="Arial" w:hAnsi="Times New Roman" w:cs="Times New Roman"/>
          <w:b/>
          <w:noProof/>
          <w:sz w:val="28"/>
          <w:szCs w:val="28"/>
        </w:rPr>
        <w:t>.3. Singapore</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Trường hợp cơ quan quản lý nhận được thông báo về khó khăn của doanh nghiệp nêu trên hoặc phát hiện doanh nghiệp không đáp ứng các điều kiện nêu trên, cơ quan quản lý có thể thực hiện các biện pháp sau:</w:t>
      </w:r>
    </w:p>
    <w:p w:rsidR="001C16F2" w:rsidRPr="008354C2" w:rsidRDefault="001C16F2" w:rsidP="001C16F2">
      <w:pPr>
        <w:spacing w:after="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 Yêu cầu doanh nghiệp thực hiện các quyết định của cơ quan quan quản lý, đặc biệt yêu cầu doanh nghiệp bảo hiểm:</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  Nộp Cơ quan quản lý báo cáo tài chính tháng hoặc định kỳ khác do cơ quan quản lý yêu cầu cho đến khi doanh nghiệp bảo hiểm đáp ứng yêu cầu về khả năng thanh toán hoặc yêu cầu đầy đủ vốn, trong vòng 90 ngày hoặc thời gian do cơ quan quản lý quy định;</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 Nộp cơ quan quản lý kế hoạch hành động giúp doanh nghiệp khôi phục khả năng thanh toán hoặc đáp ứng yêu cầu vốn hoặc</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 Dừng tái tục hoặc phát hành mới hợp đồng với 1 hoặc nhiều nghiệp vụ bảo hiểm và</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  Chỉ đạo doanh nghiệp bảo hiểm thực hiện kinh doanh theo cách thức và điều kiện do cơ quan quản lý đưa ra.</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Nếu nhận được thông báo của doanh nghiệp bảo hiểm về khả năng thanh toán và yêu cầu đầy đủ vốn hoặc biết cảnh báo về nguồn vốn xảy ra, cơ quan quản lý có thể yêu cầu doanh nghiệp bảo hiểm:</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 Nộp cơ quan quản lý kế hoạch doanh nghiệp dự kiến thực hiện để chấm dứt cảnh báo về nguồn vốn.</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 Thực hiện kinh doanh bảo hiểm theo cách thức và điều kiện do cơ quan quản lý đưa ra.</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Cảnh báo nguồn tài chính bao gồm các sự kiện làm cho nguồn tài chính của doanh nghiệp thấp hơn</w:t>
      </w:r>
    </w:p>
    <w:p w:rsidR="001C16F2" w:rsidRPr="008354C2" w:rsidRDefault="001C16F2" w:rsidP="001C16F2">
      <w:pPr>
        <w:spacing w:before="120" w:after="120"/>
        <w:jc w:val="both"/>
        <w:rPr>
          <w:rFonts w:ascii="Times New Roman" w:eastAsia="Arial" w:hAnsi="Times New Roman" w:cs="Times New Roman"/>
          <w:noProof/>
          <w:sz w:val="28"/>
          <w:szCs w:val="28"/>
        </w:rPr>
      </w:pPr>
      <w:r w:rsidRPr="008354C2">
        <w:rPr>
          <w:rFonts w:ascii="Times New Roman" w:eastAsia="Arial" w:hAnsi="Times New Roman" w:cs="Times New Roman"/>
          <w:noProof/>
          <w:sz w:val="28"/>
          <w:szCs w:val="28"/>
        </w:rPr>
        <w:t>- 120% so với Tổng thể rủi ro của doanh nghiệp hoặc</w:t>
      </w:r>
    </w:p>
    <w:p w:rsidR="001C16F2" w:rsidRPr="008354C2" w:rsidRDefault="001C16F2" w:rsidP="001C16F2">
      <w:pPr>
        <w:spacing w:before="120" w:after="120"/>
        <w:jc w:val="both"/>
        <w:rPr>
          <w:rFonts w:ascii="Times New Roman" w:eastAsia="Arial" w:hAnsi="Times New Roman" w:cs="Times New Roman"/>
          <w:noProof/>
          <w:sz w:val="28"/>
          <w:szCs w:val="28"/>
          <w:lang w:val="fr-FR"/>
        </w:rPr>
      </w:pPr>
      <w:r w:rsidRPr="008354C2">
        <w:rPr>
          <w:rFonts w:ascii="Times New Roman" w:eastAsia="Arial" w:hAnsi="Times New Roman" w:cs="Times New Roman"/>
          <w:noProof/>
          <w:sz w:val="28"/>
          <w:szCs w:val="28"/>
          <w:lang w:val="fr-FR"/>
        </w:rPr>
        <w:t>- Thấp hơn 5 triệu đô la Singapore</w:t>
      </w:r>
    </w:p>
    <w:p w:rsidR="001C16F2" w:rsidRPr="008354C2" w:rsidRDefault="000649B8" w:rsidP="001C16F2">
      <w:pPr>
        <w:spacing w:before="120" w:after="120"/>
        <w:jc w:val="both"/>
        <w:rPr>
          <w:rFonts w:ascii="Times New Roman" w:eastAsia="Arial" w:hAnsi="Times New Roman" w:cs="Times New Roman"/>
          <w:b/>
          <w:sz w:val="28"/>
          <w:szCs w:val="28"/>
          <w:lang w:val="fr-FR"/>
        </w:rPr>
      </w:pPr>
      <w:r w:rsidRPr="008354C2">
        <w:rPr>
          <w:rFonts w:ascii="Times New Roman" w:eastAsia="Arial" w:hAnsi="Times New Roman" w:cs="Times New Roman"/>
          <w:b/>
          <w:noProof/>
          <w:sz w:val="28"/>
          <w:szCs w:val="28"/>
          <w:lang w:val="fr-FR"/>
        </w:rPr>
        <w:t>4</w:t>
      </w:r>
      <w:r w:rsidR="001C16F2" w:rsidRPr="008354C2">
        <w:rPr>
          <w:rFonts w:ascii="Times New Roman" w:eastAsia="Arial" w:hAnsi="Times New Roman" w:cs="Times New Roman"/>
          <w:b/>
          <w:noProof/>
          <w:sz w:val="28"/>
          <w:szCs w:val="28"/>
          <w:lang w:val="fr-FR"/>
        </w:rPr>
        <w:t xml:space="preserve">.4. </w:t>
      </w:r>
      <w:r w:rsidR="001C16F2" w:rsidRPr="008354C2">
        <w:rPr>
          <w:rFonts w:ascii="Times New Roman" w:eastAsia="Arial" w:hAnsi="Times New Roman" w:cs="Times New Roman"/>
          <w:b/>
          <w:sz w:val="28"/>
          <w:szCs w:val="28"/>
          <w:lang w:val="fr-FR"/>
        </w:rPr>
        <w:t xml:space="preserve">Đài Loan </w:t>
      </w:r>
    </w:p>
    <w:p w:rsidR="001C16F2" w:rsidRPr="008354C2" w:rsidRDefault="001C16F2" w:rsidP="001C16F2">
      <w:pPr>
        <w:spacing w:before="120" w:after="120"/>
        <w:jc w:val="both"/>
        <w:rPr>
          <w:rFonts w:ascii="Times New Roman" w:eastAsia="Arial" w:hAnsi="Times New Roman" w:cs="Times New Roman"/>
          <w:b/>
          <w:sz w:val="28"/>
          <w:szCs w:val="28"/>
          <w:lang w:val="fr-FR"/>
        </w:rPr>
      </w:pPr>
      <w:r w:rsidRPr="008354C2">
        <w:rPr>
          <w:rFonts w:ascii="Times New Roman" w:eastAsia="Arial" w:hAnsi="Times New Roman" w:cs="Times New Roman"/>
          <w:sz w:val="28"/>
          <w:szCs w:val="28"/>
          <w:lang w:val="fr-FR"/>
        </w:rPr>
        <w:t>Đài Loan quy định tỷ lệ an toàn vốn (là tỷ lệ tổng vốn điều chỉnh của doanh nghiệp bảo hiểm đối với vốn dựa trên rủi ro) có thể không dưới 200%. Trường hợp cần thiết, cơ quan có thẩm quyền có thể điều chỉnh tỷ lệ theo tiêu chuẩn quốc tế. Tỷ lệ an toàn vốn được đề cập được phân loại như sau:</w:t>
      </w:r>
    </w:p>
    <w:p w:rsidR="001C16F2" w:rsidRPr="008354C2" w:rsidRDefault="001C16F2" w:rsidP="001C16F2">
      <w:pPr>
        <w:spacing w:before="120" w:after="120"/>
        <w:jc w:val="both"/>
        <w:rPr>
          <w:rFonts w:ascii="Times New Roman" w:eastAsia="Arial" w:hAnsi="Times New Roman" w:cs="Times New Roman"/>
          <w:b/>
          <w:sz w:val="28"/>
          <w:szCs w:val="28"/>
          <w:lang w:val="fr-FR"/>
        </w:rPr>
      </w:pPr>
      <w:r w:rsidRPr="008354C2">
        <w:rPr>
          <w:rFonts w:ascii="Times New Roman" w:eastAsia="Arial" w:hAnsi="Times New Roman" w:cs="Times New Roman"/>
          <w:sz w:val="28"/>
          <w:szCs w:val="28"/>
          <w:lang w:val="fr-FR"/>
        </w:rPr>
        <w:t xml:space="preserve">- Vốn đầy đủ: tỷ lệ an toàn vốn đáp ứng được tỷ lệ tối thiểu quy định </w:t>
      </w:r>
    </w:p>
    <w:p w:rsidR="001C16F2" w:rsidRPr="008354C2" w:rsidRDefault="001C16F2" w:rsidP="001C16F2">
      <w:pPr>
        <w:spacing w:before="120" w:after="120"/>
        <w:jc w:val="both"/>
        <w:rPr>
          <w:rFonts w:ascii="Times New Roman" w:eastAsia="Arial" w:hAnsi="Times New Roman" w:cs="Times New Roman"/>
          <w:b/>
          <w:sz w:val="28"/>
          <w:szCs w:val="28"/>
          <w:lang w:val="fr-FR"/>
        </w:rPr>
      </w:pPr>
      <w:r w:rsidRPr="008354C2">
        <w:rPr>
          <w:rFonts w:ascii="Times New Roman" w:eastAsia="Arial" w:hAnsi="Times New Roman" w:cs="Times New Roman"/>
          <w:sz w:val="28"/>
          <w:szCs w:val="28"/>
          <w:lang w:val="fr-FR"/>
        </w:rPr>
        <w:t>- Vốn thiếu;</w:t>
      </w:r>
    </w:p>
    <w:p w:rsidR="001C16F2" w:rsidRPr="008354C2" w:rsidRDefault="001C16F2" w:rsidP="001C16F2">
      <w:pPr>
        <w:spacing w:before="120" w:after="120"/>
        <w:jc w:val="both"/>
        <w:rPr>
          <w:rFonts w:ascii="Times New Roman" w:eastAsia="Arial" w:hAnsi="Times New Roman" w:cs="Times New Roman"/>
          <w:b/>
          <w:sz w:val="28"/>
          <w:szCs w:val="28"/>
          <w:lang w:val="fr-FR"/>
        </w:rPr>
      </w:pPr>
      <w:r w:rsidRPr="008354C2">
        <w:rPr>
          <w:rFonts w:ascii="Times New Roman" w:eastAsia="Arial" w:hAnsi="Times New Roman" w:cs="Times New Roman"/>
          <w:sz w:val="28"/>
          <w:szCs w:val="28"/>
          <w:lang w:val="fr-FR"/>
        </w:rPr>
        <w:t>- Vốn thiếu đáng kể;</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 Vốn thiếu nghiêm trọng: Tỷ lệ an toàn vốn dưới 50 % hoặc giá trị thực của doanh nghiệp bảo hiểm nhỏ hơn 0. </w:t>
      </w:r>
    </w:p>
    <w:p w:rsidR="001C16F2" w:rsidRPr="008354C2" w:rsidRDefault="001C16F2" w:rsidP="001C16F2">
      <w:pPr>
        <w:spacing w:before="120" w:after="120"/>
        <w:jc w:val="both"/>
        <w:rPr>
          <w:rFonts w:ascii="Times New Roman" w:eastAsia="Arial" w:hAnsi="Times New Roman" w:cs="Times New Roman"/>
          <w:noProof/>
          <w:sz w:val="28"/>
          <w:szCs w:val="28"/>
          <w:lang w:val="fr-FR"/>
        </w:rPr>
      </w:pPr>
      <w:r w:rsidRPr="008354C2">
        <w:rPr>
          <w:rFonts w:ascii="Times New Roman" w:eastAsia="Arial" w:hAnsi="Times New Roman" w:cs="Times New Roman"/>
          <w:noProof/>
          <w:sz w:val="28"/>
          <w:szCs w:val="28"/>
          <w:lang w:val="fr-FR"/>
        </w:rPr>
        <w:t>Trong trường hợp vốn thiếu nghiêm trọng, cơ quan có thẩm quyền phải đảm bảo trách nhiệm bảo quản và quản lý đối với doanh nghiệp bảo hiểm, yêu cầu doanh nghiệp đình chỉ hoạt động kinh doanh hoặc thanh lý doanh nghiệp theo cách sau đây:</w:t>
      </w:r>
    </w:p>
    <w:p w:rsidR="001C16F2" w:rsidRPr="008354C2" w:rsidRDefault="001C16F2" w:rsidP="001C16F2">
      <w:pPr>
        <w:spacing w:before="120" w:after="120"/>
        <w:jc w:val="both"/>
        <w:rPr>
          <w:rFonts w:ascii="Times New Roman" w:eastAsia="Arial" w:hAnsi="Times New Roman" w:cs="Times New Roman"/>
          <w:noProof/>
          <w:sz w:val="28"/>
          <w:szCs w:val="28"/>
          <w:lang w:val="fr-FR"/>
        </w:rPr>
      </w:pPr>
      <w:r w:rsidRPr="008354C2">
        <w:rPr>
          <w:rFonts w:ascii="Times New Roman" w:eastAsia="Arial" w:hAnsi="Times New Roman" w:cs="Times New Roman"/>
          <w:noProof/>
          <w:sz w:val="28"/>
          <w:szCs w:val="28"/>
          <w:lang w:val="fr-FR"/>
        </w:rPr>
        <w:t>Trường hợp tỷ lệ an toàn vốn được phân loại là vốn thiếu nghiêm trọng, doanh nghiệp hoặc người chịu trách nhiệm không hoàn thành kế hoạch tăng vốn hoặc phương án hành động sửa chữa tài chính, kinh doanh trong thời hạn cụ thể theo yêu cầu của cơ quan có thẩm quyền; phải đảm bảo trách nhiệm bảo quản hoặc quản lý đối với doanh nghiệp bảo hiểm, yêu cầu doanh nghiệp đình chỉ và giải thể hoạt động kinh doanh hoặc thanh lý doanh nghiệp trong thời hạn 90 ngày, kể từ ngày hết thời hạn nói trên.</w:t>
      </w:r>
    </w:p>
    <w:p w:rsidR="004F0880" w:rsidRPr="008354C2" w:rsidRDefault="001C16F2" w:rsidP="006A18D8">
      <w:pPr>
        <w:spacing w:before="120" w:after="120"/>
        <w:contextualSpacing/>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Trường hợp tình hình tài chính hoặc kinh doanh của doanh nghiệp trở nên nghiêm trọng hơn trong các trường hợp khác ngoài các phụ đoạn nêu trên, doanh nghiệp không có khả năng thanh toán các khoản nợ hoặc thực hiện nghĩa vụ hợp đồng hoặc có khả năng làm suy yếu quyền của người được bảo hiểm làm giảm đáng kể tình hình kinh doanh hoặc tài chính, cơ quan có thẩm quyền trước hết phải yêu cầu doanh nghiệp bảo hiểm nộp kế hoạch cải thiện tài chính hoặc kinh doanh. Kế hoạch phải được cấp có thẩm quyền phê duyệt. </w:t>
      </w:r>
      <w:r w:rsidRPr="008354C2">
        <w:rPr>
          <w:rFonts w:ascii="Times New Roman" w:eastAsia="Arial" w:hAnsi="Times New Roman" w:cs="Times New Roman"/>
          <w:b/>
          <w:sz w:val="28"/>
          <w:szCs w:val="28"/>
          <w:lang w:val="fr-FR"/>
        </w:rPr>
        <w:t>Cơ quan có thẩm quyền có thể đảm nhận trách nhiệm bảo quản và quản lý đối với doanh nghiệp bảo hiểm</w:t>
      </w:r>
      <w:r w:rsidRPr="008354C2">
        <w:rPr>
          <w:rFonts w:ascii="Times New Roman" w:eastAsia="Arial" w:hAnsi="Times New Roman" w:cs="Times New Roman"/>
          <w:sz w:val="28"/>
          <w:szCs w:val="28"/>
          <w:lang w:val="fr-FR"/>
        </w:rPr>
        <w:t>, yêu cầu doanh nghiệp đình chỉ hoạt động kinh doanh hoặc thanh lý doanh nghiệp theo mức độ điều kiện nếu lãi hoặc thiệt hại hoặc giá trị ròng của doanh nghiệp bảo hiểm thể hiện sự suy giảm nhanh hoặc không thể hiện sự cải thiện mặc dù sự hỗ trợ và kết quả phù hợp trong khả năng của các trường hợ</w:t>
      </w:r>
      <w:r w:rsidR="004F0880" w:rsidRPr="008354C2">
        <w:rPr>
          <w:rFonts w:ascii="Times New Roman" w:eastAsia="Arial" w:hAnsi="Times New Roman" w:cs="Times New Roman"/>
          <w:sz w:val="28"/>
          <w:szCs w:val="28"/>
          <w:lang w:val="fr-FR"/>
        </w:rPr>
        <w:t>p đã nêu.</w:t>
      </w:r>
    </w:p>
    <w:p w:rsidR="001C16F2" w:rsidRPr="008354C2" w:rsidRDefault="001C16F2" w:rsidP="004F0880">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Trong trường hợp trách nhiệm bảo quản và quản lý, đình chỉ kinh doanh, phục hồi hoặc giải thể như đã nêu trong Khoản 3, cơ quan có thẩm quyền có thể uỷ quyền cho một doanh nghiệp bảo hiểm, tổ chức bảo hiểm liên quan khác hoặc người chuyên nghiệp làm người bảo quản, người nhận, người tái thiết hoặc người thanh lý. </w:t>
      </w:r>
    </w:p>
    <w:p w:rsidR="001C16F2" w:rsidRPr="008354C2" w:rsidRDefault="000649B8" w:rsidP="001C16F2">
      <w:pPr>
        <w:spacing w:before="120" w:after="120"/>
        <w:jc w:val="both"/>
        <w:rPr>
          <w:rFonts w:ascii="Times New Roman" w:eastAsia="Arial" w:hAnsi="Times New Roman" w:cs="Times New Roman"/>
          <w:b/>
          <w:sz w:val="28"/>
          <w:szCs w:val="28"/>
          <w:lang w:val="fr-FR"/>
        </w:rPr>
      </w:pPr>
      <w:r w:rsidRPr="008354C2">
        <w:rPr>
          <w:rFonts w:ascii="Times New Roman" w:eastAsia="Arial" w:hAnsi="Times New Roman" w:cs="Times New Roman"/>
          <w:b/>
          <w:sz w:val="28"/>
          <w:szCs w:val="28"/>
          <w:lang w:val="fr-FR"/>
        </w:rPr>
        <w:t>4</w:t>
      </w:r>
      <w:r w:rsidR="001C16F2" w:rsidRPr="008354C2">
        <w:rPr>
          <w:rFonts w:ascii="Times New Roman" w:eastAsia="Arial" w:hAnsi="Times New Roman" w:cs="Times New Roman"/>
          <w:b/>
          <w:sz w:val="28"/>
          <w:szCs w:val="28"/>
          <w:lang w:val="fr-FR"/>
        </w:rPr>
        <w:t>.5. Trung Quố</w:t>
      </w:r>
      <w:r w:rsidR="00BB4F3E" w:rsidRPr="008354C2">
        <w:rPr>
          <w:rFonts w:ascii="Times New Roman" w:eastAsia="Arial" w:hAnsi="Times New Roman" w:cs="Times New Roman"/>
          <w:b/>
          <w:sz w:val="28"/>
          <w:szCs w:val="28"/>
          <w:lang w:val="fr-FR"/>
        </w:rPr>
        <w:t>c</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Trung Quốc có quy định trường hợp công ty bảo hiểm không khắc phục trong thời hạn quy định, cơ quan quản lý bảo hiểm thuộc Chính phủ có thể cử chuyên gia bảo hiểm và cá nhân có liên quan của công ty bảo hiểm để lập ra nhóm cải chính thực hiện cải chính công ty. Nhóm cải chính có quyền giám sát các hoạt động kinh doanh hàng ngày của công ty bảo hiểm được cải chính. Người phụ trách và người quản lý có liên quan của công ty bảo hiểm thực hiện các quyền hạn của mình dưới sự giám sát của nhóm cải chính.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Điều 140:</w:t>
      </w:r>
      <w:r w:rsidRPr="008354C2">
        <w:rPr>
          <w:rFonts w:ascii="Times New Roman" w:eastAsia="Arial" w:hAnsi="Times New Roman" w:cs="Times New Roman"/>
          <w:b/>
          <w:sz w:val="28"/>
          <w:szCs w:val="28"/>
          <w:lang w:val="fr-FR"/>
        </w:rPr>
        <w:t xml:space="preserve"> </w:t>
      </w:r>
      <w:r w:rsidRPr="008354C2">
        <w:rPr>
          <w:rFonts w:ascii="Times New Roman" w:eastAsia="Arial" w:hAnsi="Times New Roman" w:cs="Times New Roman"/>
          <w:sz w:val="28"/>
          <w:szCs w:val="28"/>
          <w:lang w:val="fr-FR"/>
        </w:rPr>
        <w:t xml:space="preserve">Trường hợp công ty bảo hiểm không khắc phục trong thời hạn quy định sau khi cơ quan quản lý bảo hiểm có thẩm quyền ra quyết định thì cơ quan quản lý bảo hiểm thuộc Chính phủ có thể cử chuyên gia bảo hiểm và cá nhân có liên quan của công ty bảo hiểm để lập ra nhóm cải chính thực hiện cải chính công ty.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Quyết định cải chính phải mang tên của công ty cải chính, lý do cải chính, các thành viên của nhóm cải chính và giai đoạn cải chính và sẽ được công bố công khai.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Điều 141:</w:t>
      </w:r>
      <w:r w:rsidRPr="008354C2">
        <w:rPr>
          <w:rFonts w:ascii="Times New Roman" w:eastAsia="Arial" w:hAnsi="Times New Roman" w:cs="Times New Roman"/>
          <w:b/>
          <w:sz w:val="28"/>
          <w:szCs w:val="28"/>
          <w:lang w:val="fr-FR"/>
        </w:rPr>
        <w:t xml:space="preserve"> </w:t>
      </w:r>
      <w:r w:rsidRPr="008354C2">
        <w:rPr>
          <w:rFonts w:ascii="Times New Roman" w:eastAsia="Arial" w:hAnsi="Times New Roman" w:cs="Times New Roman"/>
          <w:sz w:val="28"/>
          <w:szCs w:val="28"/>
          <w:lang w:val="fr-FR"/>
        </w:rPr>
        <w:t xml:space="preserve">Nhóm cải chính có quyền giám sát các hoạt động kinh doanh hàng ngày của công ty bảo hiểm được cải chính. Người phụ trách và người quản lý có liên quan của công ty bảo hiểm thực hiện các quyền hạn của mình dưới sự giám sát của nhóm cải chính.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Điều 142:</w:t>
      </w:r>
      <w:r w:rsidRPr="008354C2">
        <w:rPr>
          <w:rFonts w:ascii="Times New Roman" w:eastAsia="Arial" w:hAnsi="Times New Roman" w:cs="Times New Roman"/>
          <w:sz w:val="28"/>
          <w:szCs w:val="28"/>
          <w:lang w:val="fr-FR"/>
        </w:rPr>
        <w:t xml:space="preserve"> Trong quá trình cải chính, các hoạt động kinh doanh ban đầu của công ty bảo hiểm sẽ vẫn tiếp tục. Tuy nhiên, cơ quan quản lý bảo hiểm có thể yêu cầu công ty ngừng hoạt động kinh doanh ban đầu hoặc ngừng tiếp nhận hoạt động kinh doanh mới và điều chỉnh việc sử dụng quỹ.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Điều 143</w:t>
      </w:r>
      <w:r w:rsidRPr="008354C2">
        <w:rPr>
          <w:rFonts w:ascii="Times New Roman" w:eastAsia="Arial" w:hAnsi="Times New Roman" w:cs="Times New Roman"/>
          <w:sz w:val="28"/>
          <w:szCs w:val="28"/>
          <w:lang w:val="fr-FR"/>
        </w:rPr>
        <w:t xml:space="preserve">: Nếu công ty bảo hiểm đã cải chính khắc phục những hành vi vi phạm Luật này và tiếp tục hoạt động kinh doanh bình thường thì nhóm sửa đổi phải đệ trình báo cáo sự việc và quá trình cải chính sẽ chấm dứt khi được cơ quan quản lý bảo hiểm chấp thuận, và cơ quan quản lý bảo hiểm thuộc Chính phủ sẽ thông báo trên cơ sở đó.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Điều 144:</w:t>
      </w:r>
      <w:r w:rsidRPr="008354C2">
        <w:rPr>
          <w:rFonts w:ascii="Times New Roman" w:eastAsia="Arial" w:hAnsi="Times New Roman" w:cs="Times New Roman"/>
          <w:sz w:val="28"/>
          <w:szCs w:val="28"/>
          <w:lang w:val="fr-FR"/>
        </w:rPr>
        <w:t xml:space="preserve"> Trong trường hợp công ty bảo hiểm thuộc một trong các trường hợp sau đây, thì cơ quan quản lý bảo hiểm thuộc Chính phủ có thể tiếp quản công ty bảo hiểm:</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Công ty phá sản; hoặc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Công ty gây thiệt hại đến lợi ích công vi phạm Luật này, có thể ảnh hưởng hiểm nghiêm trọng hoặc đã ảnh hưởng nghiêm trọng đến khả năng thanh toán của công ty..</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Các mối quan hệ nợ-chủ nợ của công ty bảo hiểm sẽ không thay đổi sau khi được tiếp quản.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 </w:t>
      </w:r>
      <w:r w:rsidRPr="008354C2">
        <w:rPr>
          <w:rFonts w:ascii="Times New Roman" w:eastAsia="Arial" w:hAnsi="Times New Roman" w:cs="Times New Roman"/>
          <w:i/>
          <w:sz w:val="28"/>
          <w:szCs w:val="28"/>
          <w:lang w:val="fr-FR"/>
        </w:rPr>
        <w:t>Điều 145:</w:t>
      </w:r>
      <w:r w:rsidRPr="008354C2">
        <w:rPr>
          <w:rFonts w:ascii="Times New Roman" w:eastAsia="Arial" w:hAnsi="Times New Roman" w:cs="Times New Roman"/>
          <w:b/>
          <w:sz w:val="28"/>
          <w:szCs w:val="28"/>
          <w:lang w:val="fr-FR"/>
        </w:rPr>
        <w:t xml:space="preserve"> </w:t>
      </w:r>
      <w:r w:rsidRPr="008354C2">
        <w:rPr>
          <w:rFonts w:ascii="Times New Roman" w:eastAsia="Arial" w:hAnsi="Times New Roman" w:cs="Times New Roman"/>
          <w:sz w:val="28"/>
          <w:szCs w:val="28"/>
          <w:lang w:val="fr-FR"/>
        </w:rPr>
        <w:t xml:space="preserve">Các biện pháp thành lập nhóm tiếp quản và việc thực hiện tiếp quản được xác định và công bố bởi cơ quan quản lý bảo hiểm thuộc Chính phủ.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 </w:t>
      </w:r>
      <w:r w:rsidRPr="008354C2">
        <w:rPr>
          <w:rFonts w:ascii="Times New Roman" w:eastAsia="Arial" w:hAnsi="Times New Roman" w:cs="Times New Roman"/>
          <w:i/>
          <w:sz w:val="28"/>
          <w:szCs w:val="28"/>
          <w:lang w:val="fr-FR"/>
        </w:rPr>
        <w:t>Điều 146</w:t>
      </w:r>
      <w:r w:rsidRPr="008354C2">
        <w:rPr>
          <w:rFonts w:ascii="Times New Roman" w:eastAsia="Arial" w:hAnsi="Times New Roman" w:cs="Times New Roman"/>
          <w:sz w:val="28"/>
          <w:szCs w:val="28"/>
          <w:lang w:val="fr-FR"/>
        </w:rPr>
        <w:t>: Khi hết thời hạn tiếp quản, cơ quan quản lý bảo hiểm thuộc Chính phủ có thể gia hạn thời gian tiếp quản, nhưng tối đa không quá hai năm.</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 xml:space="preserve"> Điều 147</w:t>
      </w:r>
      <w:r w:rsidRPr="008354C2">
        <w:rPr>
          <w:rFonts w:ascii="Times New Roman" w:eastAsia="Arial" w:hAnsi="Times New Roman" w:cs="Times New Roman"/>
          <w:sz w:val="28"/>
          <w:szCs w:val="28"/>
          <w:lang w:val="fr-FR"/>
        </w:rPr>
        <w:t>: Nếu công ty bảo hiểm chịu trách nhiệm tiếp quản</w:t>
      </w:r>
      <w:r w:rsidRPr="008354C2">
        <w:rPr>
          <w:rFonts w:ascii="Times New Roman" w:eastAsia="Arial" w:hAnsi="Times New Roman" w:cs="Times New Roman"/>
          <w:b/>
          <w:sz w:val="28"/>
          <w:szCs w:val="28"/>
          <w:lang w:val="fr-FR"/>
        </w:rPr>
        <w:t xml:space="preserve"> </w:t>
      </w:r>
      <w:r w:rsidRPr="008354C2">
        <w:rPr>
          <w:rFonts w:ascii="Times New Roman" w:eastAsia="Arial" w:hAnsi="Times New Roman" w:cs="Times New Roman"/>
          <w:sz w:val="28"/>
          <w:szCs w:val="28"/>
          <w:lang w:val="fr-FR"/>
        </w:rPr>
        <w:t xml:space="preserve">hoạt động kinh doanh thông thường khi hết thời hạn tiếp quản thì cơ quan quản lý bảo hiểm thuộc Chính phủ sẽ chấm dứt việc tiếp quản và sẽ thông báo trên cơ sở đó. </w:t>
      </w:r>
    </w:p>
    <w:p w:rsidR="001C16F2" w:rsidRPr="008354C2" w:rsidRDefault="001C16F2" w:rsidP="001C16F2">
      <w:pPr>
        <w:spacing w:before="120" w:after="120"/>
        <w:jc w:val="both"/>
        <w:rPr>
          <w:rFonts w:ascii="Times New Roman" w:eastAsia="Arial" w:hAnsi="Times New Roman" w:cs="Times New Roman"/>
          <w:b/>
          <w:sz w:val="28"/>
          <w:szCs w:val="28"/>
          <w:lang w:val="fr-FR"/>
        </w:rPr>
      </w:pPr>
      <w:r w:rsidRPr="008354C2">
        <w:rPr>
          <w:rFonts w:ascii="Times New Roman" w:eastAsia="Arial" w:hAnsi="Times New Roman" w:cs="Times New Roman"/>
          <w:sz w:val="28"/>
          <w:szCs w:val="28"/>
          <w:lang w:val="fr-FR"/>
        </w:rPr>
        <w:t xml:space="preserve"> </w:t>
      </w:r>
      <w:r w:rsidRPr="008354C2">
        <w:rPr>
          <w:rFonts w:ascii="Times New Roman" w:eastAsia="Arial" w:hAnsi="Times New Roman" w:cs="Times New Roman"/>
          <w:i/>
          <w:sz w:val="28"/>
          <w:szCs w:val="28"/>
          <w:lang w:val="fr-FR"/>
        </w:rPr>
        <w:t>Điều 148:</w:t>
      </w:r>
      <w:r w:rsidRPr="008354C2">
        <w:rPr>
          <w:rFonts w:ascii="Times New Roman" w:eastAsia="Arial" w:hAnsi="Times New Roman" w:cs="Times New Roman"/>
          <w:sz w:val="28"/>
          <w:szCs w:val="28"/>
          <w:lang w:val="fr-FR"/>
        </w:rPr>
        <w:t xml:space="preserve"> Nếu công ty bảo hiểm thuộc trường hợp cải chính hoặc tiếp quản thuộc các trường hợp quy định tại Điều 2 của Luật phá sản doanh nghiệp của Cộng hòa Nhân dân Trung Hoa, cơ quan quản lý bảo hiểm thuộc Chính phủ có thể đệ trình đơn lên tòa án PRC xin tái cấu trúc hoặc thanh lý phá sản.</w:t>
      </w:r>
      <w:r w:rsidRPr="008354C2">
        <w:rPr>
          <w:rFonts w:ascii="Times New Roman" w:eastAsia="Arial" w:hAnsi="Times New Roman" w:cs="Times New Roman"/>
          <w:b/>
          <w:sz w:val="28"/>
          <w:szCs w:val="28"/>
          <w:lang w:val="fr-FR"/>
        </w:rPr>
        <w:t xml:space="preserve">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 </w:t>
      </w:r>
      <w:r w:rsidRPr="008354C2">
        <w:rPr>
          <w:rFonts w:ascii="Times New Roman" w:eastAsia="Arial" w:hAnsi="Times New Roman" w:cs="Times New Roman"/>
          <w:i/>
          <w:sz w:val="28"/>
          <w:szCs w:val="28"/>
          <w:lang w:val="fr-FR"/>
        </w:rPr>
        <w:t>Điều 149:</w:t>
      </w:r>
      <w:r w:rsidRPr="008354C2">
        <w:rPr>
          <w:rFonts w:ascii="Times New Roman" w:eastAsia="Arial" w:hAnsi="Times New Roman" w:cs="Times New Roman"/>
          <w:b/>
          <w:sz w:val="28"/>
          <w:szCs w:val="28"/>
          <w:lang w:val="fr-FR"/>
        </w:rPr>
        <w:t xml:space="preserve"> </w:t>
      </w:r>
      <w:r w:rsidRPr="008354C2">
        <w:rPr>
          <w:rFonts w:ascii="Times New Roman" w:eastAsia="Arial" w:hAnsi="Times New Roman" w:cs="Times New Roman"/>
          <w:sz w:val="28"/>
          <w:szCs w:val="28"/>
          <w:lang w:val="fr-FR"/>
        </w:rPr>
        <w:t xml:space="preserve">Nếu giấy phép hoạt động kinh doanh bảo hiểm của công ty bảo hiểm bị thu hồi do hoạt động kinh doanh bất hợp pháp hoặc khả năng thanh toán của công ty bảo hiểm thấp hơn tiêu chuẩn quy định của cơ quan quản lý bảo hiểm thuộc Chính phủ và trật tự của thị trường bảo hiểm sẽ bị ảnh hưởng nghiêm trọng hoặc lợi ích công sẽ bị ảnh hưởng nghiêm trọng nếu công ty không đóng cửa, thì sau đó cơ quan quản lý bảo hiểm thuộc Chính phủ sẽ đóng cửa công ty, thông báo và thành lập một nhóm thanh lý hợp pháp để tiến hành thanh lý công ty kịp thời.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Điều 153</w:t>
      </w:r>
      <w:r w:rsidRPr="008354C2">
        <w:rPr>
          <w:rFonts w:ascii="Times New Roman" w:eastAsia="Arial" w:hAnsi="Times New Roman" w:cs="Times New Roman"/>
          <w:sz w:val="28"/>
          <w:szCs w:val="28"/>
          <w:lang w:val="fr-FR"/>
        </w:rPr>
        <w:t>: Trong thời gian cải chính, tiếp quản hoặc thanh lý do công ty bảo hiểm đóng cửa hoặc khi bất kỳ rủi ro lớn xảy ra đối với công ty bảo hiểm, cơ quan quản lý bảo hiểm thuộc Chính phủ có thể đưa ra các biện pháp sau đây cho các giám đốc, giám sát viên, cán bộ và những người chịu trách nhiệm trực tiếp khác của công ty:</w:t>
      </w:r>
    </w:p>
    <w:p w:rsidR="001C16F2" w:rsidRPr="008354C2" w:rsidRDefault="001C16F2" w:rsidP="001C16F2">
      <w:pPr>
        <w:widowControl w:val="0"/>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Thông báo cho cơ quan hành chính di trú để ngăn họ ra nước ngoài; hoặc</w:t>
      </w:r>
    </w:p>
    <w:p w:rsidR="001C16F2" w:rsidRPr="008354C2" w:rsidRDefault="001C16F2" w:rsidP="001C16F2">
      <w:pPr>
        <w:widowControl w:val="0"/>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Yêu cầu cơ quan tư pháp cấm việc xử lý tài sản của họ bằng cách chuyển nhượng, chuyển giao hoặc bất kỳ hình thức nào khác hoặc từ việc thiết lập bất kỳ quyền nào khác đối với tài sản của họ.</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i/>
          <w:sz w:val="28"/>
          <w:szCs w:val="28"/>
          <w:lang w:val="fr-FR"/>
        </w:rPr>
        <w:t xml:space="preserve"> Điều 154</w:t>
      </w:r>
      <w:r w:rsidRPr="008354C2">
        <w:rPr>
          <w:rFonts w:ascii="Times New Roman" w:eastAsia="Arial" w:hAnsi="Times New Roman" w:cs="Times New Roman"/>
          <w:sz w:val="28"/>
          <w:szCs w:val="28"/>
          <w:lang w:val="fr-FR"/>
        </w:rPr>
        <w:t>: Để thực hiện nhiệm vụ của mình theo quy định của pháp luật, cơ quan quản lý bảo hiểm có thể thực hiện các biện pháp sau đây:</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Thực hiện thanh tra tại chỗ đối với công ty bảo hiểm, đại lý bảo hiểm, môi giới bảo hiểm, công ty quản lý tài sản bảo hiểm và văn phòng đại diện của các tổ chức bảo hiểm nước ngoài;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Tiếp cận hiện trưởng xảy ra hành vi bất hợp pháp bị nghi ngờ điều tra và lấy bằng chứng;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Tra hỏi các bên có liên quan và các tổ chức và cá nhân khác có liên quan đến sự việc được điều tra và yêu cầu họ giải thích về các vấn đề liên quan;</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Tham vấn và sao chép các tài liệu liên quan đến sự việc được điều tra, như tài liệu về đăng ký quyền sở hữu;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Tham vấn, sao chép tài liệu kế toán tài chính và các tài liệu liên quan khác của công ty bảo hiểm, đại lý bảo hiểm, môi giới bảo hiểm, công ty quản lý tài sản bảo hiểm, văn phòng đại diện của tổ chức bảo hiểm nước ngoài và các tổ chức và cá nhân khác có liên quan đến sự việc được điều tra; niêm phong tài liệu, đồ đạc có thể di dời, che giấu hoặc tiêu huỷ;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Tra hỏi về tài khoản ngân hàng của công ty bảo hiểm, đại lý bảo hiểm, môi giới bảo hiểm, công ty quản lý tài sản bảo hiểm và văn phòng đại diện của tổ chức bảo hiểm nước ngoài bị nghi ngờ tham gia hoạt động kinh doanh bất hợp pháp và tài khoản ngân hàng của tổ chức, cá nhân liên quan đến sự việc bị nghi ngờ bất hợp pháp; hoặc</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Khi có sự chấp thuận của người phụ trách của cơ quan quản lý bảo hiểm, nộp đơn lên tòa án PRC để phong tỏa hoặc niêm phong bất kỳ quỹ bất hợp pháp và tài sản có liên quan khác, như đã được chứng minh, có hoặc có thể được di dời hoặc che dấu hoặc bất kỳ bằng chứng quan trọng được chứng minh, đã hoặc đang được che giấu, giả mạo hoặc phá hủy.</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Để thực hiện các biện pháp được quy định tại mục 1, 2 hoặc 5 của khoản trên, cơ quan quản lý bảo hiểm sẽ xin phê duyệt từ người phụ trách của cơ quan quản lý. Để áp dụng biện pháp được quy định tại khoản 6, cơ quan quản lý bảo hiểm phải có sự chấp thuận của người phụ trách của cơ quan quản lý bảo hiểm thuộc Chính phủ. </w:t>
      </w:r>
    </w:p>
    <w:p w:rsidR="001C16F2" w:rsidRPr="008354C2" w:rsidRDefault="001C16F2" w:rsidP="001C16F2">
      <w:pPr>
        <w:spacing w:before="120" w:after="120"/>
        <w:jc w:val="both"/>
        <w:rPr>
          <w:rFonts w:ascii="Times New Roman" w:eastAsia="Arial" w:hAnsi="Times New Roman" w:cs="Times New Roman"/>
          <w:sz w:val="28"/>
          <w:szCs w:val="28"/>
          <w:lang w:val="fr-FR"/>
        </w:rPr>
      </w:pPr>
      <w:r w:rsidRPr="008354C2">
        <w:rPr>
          <w:rFonts w:ascii="Times New Roman" w:eastAsia="Arial" w:hAnsi="Times New Roman" w:cs="Times New Roman"/>
          <w:sz w:val="28"/>
          <w:szCs w:val="28"/>
          <w:lang w:val="fr-FR"/>
        </w:rPr>
        <w:t xml:space="preserve">Nếu cơ quan quản lý bảo hiểm tiến hành thanh tra, điều tra giám sát theo quy định của pháp luật thì ít nhất hai thanh tra viên, giám sát viên hoặc điều tra viên phải xuất trình chứng nhận pháp lý và xuất trình thông báo thanh tra, giám sát hoặc điều tra; nếu có ít hơn hai thanh tra viên, giám sát viên hoặc điều tra viên không xuất trình giấy chứng nhận hợp pháp hoặc thông báo kiểm tra, thực thể hoặc cá nhân đang được thanh tra, điều tra có quyền từ chối việc thanh tra, điều tra. </w:t>
      </w:r>
    </w:p>
    <w:p w:rsidR="001C16F2" w:rsidRPr="008354C2" w:rsidRDefault="000649B8" w:rsidP="001C16F2">
      <w:pPr>
        <w:spacing w:before="120" w:after="120"/>
        <w:jc w:val="both"/>
        <w:rPr>
          <w:rFonts w:ascii="Times New Roman" w:eastAsia="Arial" w:hAnsi="Times New Roman" w:cs="Times New Roman"/>
          <w:b/>
          <w:noProof/>
          <w:sz w:val="28"/>
          <w:szCs w:val="28"/>
          <w:lang w:val="fr-FR"/>
        </w:rPr>
      </w:pPr>
      <w:r w:rsidRPr="008354C2">
        <w:rPr>
          <w:rFonts w:ascii="Times New Roman" w:eastAsia="Arial" w:hAnsi="Times New Roman" w:cs="Times New Roman"/>
          <w:b/>
          <w:noProof/>
          <w:sz w:val="28"/>
          <w:szCs w:val="28"/>
          <w:lang w:val="fr-FR"/>
        </w:rPr>
        <w:t>4</w:t>
      </w:r>
      <w:r w:rsidR="006A18D8" w:rsidRPr="008354C2">
        <w:rPr>
          <w:rFonts w:ascii="Times New Roman" w:eastAsia="Arial" w:hAnsi="Times New Roman" w:cs="Times New Roman"/>
          <w:b/>
          <w:noProof/>
          <w:sz w:val="28"/>
          <w:szCs w:val="28"/>
          <w:lang w:val="fr-FR"/>
        </w:rPr>
        <w:t>.6. Úc</w:t>
      </w:r>
    </w:p>
    <w:p w:rsidR="001C16F2" w:rsidRPr="008354C2" w:rsidRDefault="001C16F2" w:rsidP="001C16F2">
      <w:pPr>
        <w:spacing w:before="120" w:after="120"/>
        <w:jc w:val="both"/>
        <w:rPr>
          <w:rFonts w:ascii="Times New Roman" w:eastAsia="Arial" w:hAnsi="Times New Roman" w:cs="Times New Roman"/>
          <w:b/>
          <w:noProof/>
          <w:sz w:val="28"/>
          <w:szCs w:val="28"/>
          <w:lang w:val="fr-FR"/>
        </w:rPr>
      </w:pPr>
      <w:r w:rsidRPr="008354C2">
        <w:rPr>
          <w:rFonts w:ascii="Times New Roman" w:eastAsia="Arial" w:hAnsi="Times New Roman" w:cs="Times New Roman"/>
          <w:spacing w:val="2"/>
          <w:sz w:val="28"/>
          <w:szCs w:val="28"/>
          <w:lang w:val="fr-FR"/>
        </w:rPr>
        <w:t>Trường hợp DNBH mất khả năng thanh toán, cơ quan quản lý Úc (A</w:t>
      </w:r>
      <w:r w:rsidRPr="008354C2">
        <w:rPr>
          <w:rFonts w:ascii="Times New Roman" w:eastAsia="Arial" w:hAnsi="Times New Roman" w:cs="Times New Roman"/>
          <w:sz w:val="28"/>
          <w:szCs w:val="28"/>
          <w:lang w:val="fr-FR"/>
        </w:rPr>
        <w:t>P</w:t>
      </w:r>
      <w:r w:rsidRPr="008354C2">
        <w:rPr>
          <w:rFonts w:ascii="Times New Roman" w:eastAsia="Arial" w:hAnsi="Times New Roman" w:cs="Times New Roman"/>
          <w:spacing w:val="-1"/>
          <w:sz w:val="28"/>
          <w:szCs w:val="28"/>
          <w:lang w:val="fr-FR"/>
        </w:rPr>
        <w:t>R</w:t>
      </w:r>
      <w:r w:rsidRPr="008354C2">
        <w:rPr>
          <w:rFonts w:ascii="Times New Roman" w:eastAsia="Arial" w:hAnsi="Times New Roman" w:cs="Times New Roman"/>
          <w:sz w:val="28"/>
          <w:szCs w:val="28"/>
          <w:lang w:val="fr-FR"/>
        </w:rPr>
        <w:t xml:space="preserve">A) có thể thông báo cho Bộ trưởng về việc </w:t>
      </w:r>
      <w:r w:rsidRPr="008354C2">
        <w:rPr>
          <w:rFonts w:ascii="Times New Roman" w:eastAsia="Malgun Gothic" w:hAnsi="Times New Roman" w:cs="Times New Roman"/>
          <w:sz w:val="28"/>
          <w:szCs w:val="28"/>
          <w:lang w:val="fr-FR"/>
        </w:rPr>
        <w:t>đánh giá</w:t>
      </w:r>
      <w:r w:rsidRPr="008354C2">
        <w:rPr>
          <w:rFonts w:ascii="Times New Roman" w:eastAsia="Arial" w:hAnsi="Times New Roman" w:cs="Times New Roman"/>
          <w:sz w:val="28"/>
          <w:szCs w:val="28"/>
          <w:lang w:val="fr-FR"/>
        </w:rPr>
        <w:t xml:space="preserve"> khả năng thanh toán, cụ thể:</w:t>
      </w:r>
    </w:p>
    <w:p w:rsidR="001C16F2" w:rsidRPr="008354C2" w:rsidRDefault="001C16F2" w:rsidP="001C16F2">
      <w:pPr>
        <w:spacing w:before="120" w:after="120"/>
        <w:jc w:val="both"/>
        <w:rPr>
          <w:rFonts w:ascii="Times New Roman" w:eastAsia="Arial" w:hAnsi="Times New Roman" w:cs="Times New Roman"/>
          <w:b/>
          <w:noProof/>
          <w:sz w:val="28"/>
          <w:szCs w:val="28"/>
          <w:lang w:val="fr-FR"/>
        </w:rPr>
      </w:pPr>
      <w:r w:rsidRPr="008354C2">
        <w:rPr>
          <w:rFonts w:ascii="Times New Roman" w:eastAsia="Malgun Gothic" w:hAnsi="Times New Roman" w:cs="Times New Roman"/>
          <w:spacing w:val="2"/>
          <w:sz w:val="28"/>
          <w:szCs w:val="28"/>
          <w:lang w:val="fr-FR"/>
        </w:rPr>
        <w:t>N</w:t>
      </w:r>
      <w:r w:rsidRPr="008354C2">
        <w:rPr>
          <w:rFonts w:ascii="Times New Roman" w:eastAsia="Arial" w:hAnsi="Times New Roman" w:cs="Times New Roman"/>
          <w:spacing w:val="2"/>
          <w:sz w:val="28"/>
          <w:szCs w:val="28"/>
          <w:lang w:val="fr-FR"/>
        </w:rPr>
        <w:t xml:space="preserve">ếu APRA tin rằng, công ty bảo hiểm phi nhân thọ cụ thể: </w:t>
      </w:r>
      <w:r w:rsidRPr="008354C2">
        <w:rPr>
          <w:rFonts w:ascii="Times New Roman" w:eastAsia="Arial" w:hAnsi="Times New Roman" w:cs="Times New Roman"/>
          <w:spacing w:val="1"/>
          <w:sz w:val="28"/>
          <w:szCs w:val="28"/>
          <w:lang w:val="fr-FR"/>
        </w:rPr>
        <w:t>(a)</w:t>
      </w:r>
      <w:r w:rsidRPr="008354C2">
        <w:rPr>
          <w:rFonts w:ascii="Times New Roman" w:eastAsia="Arial" w:hAnsi="Times New Roman" w:cs="Times New Roman"/>
          <w:sz w:val="28"/>
          <w:szCs w:val="28"/>
          <w:lang w:val="fr-FR"/>
        </w:rPr>
        <w:t xml:space="preserve"> </w:t>
      </w:r>
      <w:r w:rsidRPr="008354C2">
        <w:rPr>
          <w:rFonts w:ascii="Times New Roman" w:eastAsia="Arial" w:hAnsi="Times New Roman" w:cs="Times New Roman"/>
          <w:spacing w:val="2"/>
          <w:sz w:val="28"/>
          <w:szCs w:val="28"/>
          <w:lang w:val="fr-FR"/>
        </w:rPr>
        <w:t xml:space="preserve">phá sản </w:t>
      </w:r>
      <w:r w:rsidRPr="008354C2">
        <w:rPr>
          <w:rFonts w:ascii="Times New Roman" w:eastAsia="Arial" w:hAnsi="Times New Roman" w:cs="Times New Roman"/>
          <w:spacing w:val="-1"/>
          <w:sz w:val="28"/>
          <w:szCs w:val="28"/>
          <w:lang w:val="fr-FR"/>
        </w:rPr>
        <w:t xml:space="preserve">hoặc là </w:t>
      </w:r>
      <w:r w:rsidRPr="008354C2">
        <w:rPr>
          <w:rFonts w:ascii="Times New Roman" w:eastAsia="Arial" w:hAnsi="Times New Roman" w:cs="Times New Roman"/>
          <w:spacing w:val="1"/>
          <w:sz w:val="28"/>
          <w:szCs w:val="28"/>
          <w:lang w:val="fr-FR"/>
        </w:rPr>
        <w:t>(</w:t>
      </w:r>
      <w:r w:rsidRPr="008354C2">
        <w:rPr>
          <w:rFonts w:ascii="Times New Roman" w:eastAsia="Arial" w:hAnsi="Times New Roman" w:cs="Times New Roman"/>
          <w:sz w:val="28"/>
          <w:szCs w:val="28"/>
          <w:lang w:val="fr-FR"/>
        </w:rPr>
        <w:t xml:space="preserve">b) </w:t>
      </w:r>
      <w:r w:rsidRPr="008354C2">
        <w:rPr>
          <w:rFonts w:ascii="Times New Roman" w:eastAsia="Arial" w:hAnsi="Times New Roman" w:cs="Times New Roman"/>
          <w:spacing w:val="1"/>
          <w:sz w:val="28"/>
          <w:szCs w:val="28"/>
          <w:lang w:val="fr-FR"/>
        </w:rPr>
        <w:t xml:space="preserve">là một công ty bảo hiểm phi nhân thọ của nước ngoài và không thể thanh toán tất cả các khoản nợ phát sinh tại Úc đã đến hạn trả (ngoại trừ nợ được ủy quyền trước), bằng tài sản của mình tại Úc (trừ bất kỳ tài sản hoặc số tiền nào không thuộc các tiêu chuẩn an toàn theo quy định tại khoản 28 (b)),. </w:t>
      </w:r>
    </w:p>
    <w:p w:rsidR="001C16F2" w:rsidRPr="008354C2" w:rsidRDefault="001C16F2" w:rsidP="001C16F2">
      <w:pPr>
        <w:tabs>
          <w:tab w:val="left" w:pos="7797"/>
        </w:tabs>
        <w:spacing w:before="120" w:after="120"/>
        <w:ind w:right="424"/>
        <w:jc w:val="both"/>
        <w:rPr>
          <w:rFonts w:ascii="Times New Roman" w:eastAsia="Arial" w:hAnsi="Times New Roman" w:cs="Times New Roman"/>
          <w:sz w:val="28"/>
          <w:szCs w:val="28"/>
          <w:lang w:val="fr-FR"/>
        </w:rPr>
      </w:pPr>
      <w:r w:rsidRPr="008354C2">
        <w:rPr>
          <w:rFonts w:ascii="Times New Roman" w:eastAsia="Malgun Gothic" w:hAnsi="Times New Roman" w:cs="Times New Roman"/>
          <w:sz w:val="28"/>
          <w:szCs w:val="28"/>
          <w:lang w:val="fr-FR"/>
        </w:rPr>
        <w:t>Kế hoạch</w:t>
      </w:r>
      <w:r w:rsidRPr="008354C2">
        <w:rPr>
          <w:rFonts w:ascii="Times New Roman" w:eastAsia="Arial" w:hAnsi="Times New Roman" w:cs="Times New Roman"/>
          <w:sz w:val="28"/>
          <w:szCs w:val="28"/>
          <w:lang w:val="fr-FR"/>
        </w:rPr>
        <w:t xml:space="preserve"> bồi thường tài chính cho các chủ hợp đồng bảo hiểm với các công ty bảo hiểm phi nhân thọ phá sản .</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Cambria" w:hAnsi="Times New Roman" w:cs="Times New Roman"/>
          <w:sz w:val="28"/>
          <w:szCs w:val="28"/>
          <w:lang w:val="fr-FR"/>
        </w:rPr>
        <w:t>(</w:t>
      </w:r>
      <w:r w:rsidRPr="008354C2">
        <w:rPr>
          <w:rFonts w:ascii="Times New Roman" w:eastAsia="Arial" w:hAnsi="Times New Roman" w:cs="Times New Roman"/>
          <w:spacing w:val="2"/>
          <w:sz w:val="28"/>
          <w:szCs w:val="28"/>
          <w:lang w:val="fr-FR"/>
        </w:rPr>
        <w:t>1) Phần này áp dụng cho các đối tượng trong trường hợp sau:</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(a) Người có quyền yêu cầu bồi thường bảo hiểm theo điều khoản bảo vệ của hợp đồng bảo hiểm:</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(i)  công ty bảo hiểm đã  phát hành trước khi trở thành một công ty bảo hiểm phải khai báo hợp pháp công khai; hoặc là</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(ii)  có liên quan đến những trách nhiệm pháp lý của công ty bảo hiểm trước khi trở thành một công ty bảo hiểm   phải khai báo hợp pháp công khai;</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cho dù quyền yêu cầu bồi thường phát sinh theo hợp đồng bảo hiểm được cung cấp cho người đó theo các điều khoản hoặc bởi vì người đó có quyền yêu cầu bồi thường theo hợp đồng bảo hiểm; và</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(b)   Người đưa ra yêu cầu bồi thường bảo hiểm theo hợp đồng bảo hiểm đó, dưới hình thức được chấp thuận (nếu có), trong thời hạn:</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(i)  bắt đầu từ ngày được ấn định theo các quy định  chiểu theo khoản này; và</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(ii) kết thúc vào ngày được ấn định theo các quy định  chiểu theo khoản này, hoặc vào một ngày cụ thể sau đó mà APRA đưa ra  tiếp theo;</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(c) APRA xác định theo  điều 62ZZI rằng, công ty bảo hiểm phải chịu trách nhiệm đối với người đó đối với việc giải quyết yêu cầu bồi thường; và</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(d) người đó không phải là đối tượng được bảo hiểm theo các tiêu chí xác định trong  điều 62ZZ.</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Yêu cầu bồi thường có trị giá dưới 5.000 đô-la</w:t>
      </w:r>
    </w:p>
    <w:p w:rsidR="001C16F2" w:rsidRPr="008354C2" w:rsidRDefault="001C16F2" w:rsidP="001C16F2">
      <w:pPr>
        <w:tabs>
          <w:tab w:val="left" w:pos="993"/>
          <w:tab w:val="left" w:pos="1276"/>
        </w:tabs>
        <w:spacing w:before="120" w:after="120"/>
        <w:jc w:val="both"/>
        <w:rPr>
          <w:rFonts w:ascii="Times New Roman" w:eastAsia="Arial" w:hAnsi="Times New Roman" w:cs="Times New Roman"/>
          <w:spacing w:val="2"/>
          <w:sz w:val="28"/>
          <w:szCs w:val="28"/>
          <w:lang w:val="fr-FR"/>
        </w:rPr>
      </w:pPr>
      <w:r w:rsidRPr="008354C2">
        <w:rPr>
          <w:rFonts w:ascii="Times New Roman" w:eastAsia="Arial" w:hAnsi="Times New Roman" w:cs="Times New Roman"/>
          <w:spacing w:val="2"/>
          <w:sz w:val="28"/>
          <w:szCs w:val="28"/>
          <w:lang w:val="fr-FR"/>
        </w:rPr>
        <w:t>(2)  Người có quyền được APRA thanh toán một khoản tiền tương đương với trách nhiệm pháp lý của công ty bảo hiểm cho đối tượng liên quan đến yêu cầu bồi thường bảo hiểm nếu APRA xác định rằng, số tiền trách nhiệm pháp lý có trị giá nhỏ</w:t>
      </w:r>
      <w:r w:rsidR="00074FF8" w:rsidRPr="008354C2">
        <w:rPr>
          <w:rFonts w:ascii="Times New Roman" w:eastAsia="Arial" w:hAnsi="Times New Roman" w:cs="Times New Roman"/>
          <w:spacing w:val="2"/>
          <w:sz w:val="28"/>
          <w:szCs w:val="28"/>
          <w:lang w:val="fr-FR"/>
        </w:rPr>
        <w:t xml:space="preserve"> hơn  5.000 đô-la. </w:t>
      </w:r>
      <w:r w:rsidRPr="008354C2">
        <w:rPr>
          <w:rFonts w:ascii="Times New Roman" w:eastAsia="Arial" w:hAnsi="Times New Roman" w:cs="Times New Roman"/>
          <w:spacing w:val="2"/>
          <w:sz w:val="28"/>
          <w:szCs w:val="28"/>
          <w:lang w:val="fr-FR"/>
        </w:rPr>
        <w:t xml:space="preserve">Lưu </w:t>
      </w:r>
      <w:r w:rsidR="006A18D8" w:rsidRPr="008354C2">
        <w:rPr>
          <w:rFonts w:ascii="Times New Roman" w:eastAsia="Arial" w:hAnsi="Times New Roman" w:cs="Times New Roman"/>
          <w:spacing w:val="2"/>
          <w:sz w:val="28"/>
          <w:szCs w:val="28"/>
          <w:lang w:val="fr-FR"/>
        </w:rPr>
        <w:t xml:space="preserve">ý: </w:t>
      </w:r>
      <w:r w:rsidRPr="008354C2">
        <w:rPr>
          <w:rFonts w:ascii="Times New Roman" w:eastAsia="Arial" w:hAnsi="Times New Roman" w:cs="Times New Roman"/>
          <w:spacing w:val="2"/>
          <w:sz w:val="28"/>
          <w:szCs w:val="28"/>
          <w:lang w:val="fr-FR"/>
        </w:rPr>
        <w:t>điều 62ZZI yêu cầu APRA xác định không chỉ trách nhiệm pháp lý của công ty bảo hiểm đối với yêu cầu bồi thường bảo hiểm mà còn xác định số tiền phải trả của trách nhiệm pháp lý đó.</w:t>
      </w:r>
    </w:p>
    <w:p w:rsidR="009B059E" w:rsidRPr="008354C2" w:rsidRDefault="009B059E" w:rsidP="001C16F2">
      <w:pPr>
        <w:tabs>
          <w:tab w:val="left" w:pos="993"/>
          <w:tab w:val="left" w:pos="1276"/>
        </w:tabs>
        <w:spacing w:before="120" w:after="120"/>
        <w:jc w:val="both"/>
        <w:rPr>
          <w:rFonts w:ascii="Times New Roman" w:eastAsia="Arial" w:hAnsi="Times New Roman" w:cs="Times New Roman"/>
          <w:b/>
          <w:spacing w:val="2"/>
          <w:sz w:val="28"/>
          <w:szCs w:val="28"/>
          <w:lang w:val="fr-FR"/>
        </w:rPr>
      </w:pPr>
      <w:r w:rsidRPr="008354C2">
        <w:rPr>
          <w:rFonts w:ascii="Times New Roman" w:eastAsia="Arial" w:hAnsi="Times New Roman" w:cs="Times New Roman"/>
          <w:b/>
          <w:spacing w:val="2"/>
          <w:sz w:val="28"/>
          <w:szCs w:val="28"/>
          <w:lang w:val="fr-FR"/>
        </w:rPr>
        <w:t>4.7. Thái Lan</w:t>
      </w:r>
    </w:p>
    <w:p w:rsidR="009B059E" w:rsidRPr="008354C2" w:rsidRDefault="009B059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Nếu một công ty bảo hiểm bị phá sản, các chủ hợp đồng có khiếu nại chưa thanh toán đối với công ty bảo hiểm được xếp hạng là chủ nợ ưu đãi trong bất kỳ thủ tục phá sản nào. Các chủ hợp đồng cũng được xếp hạng là chủ nợ có bảo đảm đối với khoản tiền gửi bảo đảm do Văn phòng Ủy ban Bảo hiểm (OIC) nắm giữ.</w:t>
      </w:r>
    </w:p>
    <w:p w:rsidR="009B059E" w:rsidRPr="008354C2" w:rsidRDefault="009B059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Các công ty bảo hiểm phi nhân thọ phải ký quỹ bằng tiền mặt với văn phòng đăng ký của OIC theo Quy định của Bộ trưởng số 5 B.E. 2539. Công ty bảo hiểm phải nộp một số tiền cố định 3,5 triệu THB cho Văn phòng đăng ký của OIC cho mỗi loại bảo hiểm mà họ định cung cấp, ví dụ như bảo hiểm hỏa hoạn, bảo hiểm xe máy, bảo hiểm giao thông vận tải và các loại bảo hiểm khác.</w:t>
      </w:r>
    </w:p>
    <w:p w:rsidR="009B059E" w:rsidRPr="008354C2" w:rsidRDefault="009B059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Các công ty bảo hiểm phi nhân thọ cũng phải nộp một khoản ký quỹ không ít hơn 25% tổng dự trữ vốn cho phí bảo hiểm thuần bằng văn bản cho Văn phòng đăng ký của OIC. Khoản tiền gửi phải được gửi cùng với:</w:t>
      </w:r>
    </w:p>
    <w:p w:rsidR="009B059E" w:rsidRPr="008354C2" w:rsidRDefault="009B059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 Báo cáo tổng dự phòng quý II hàng năm.</w:t>
      </w:r>
    </w:p>
    <w:p w:rsidR="009B059E" w:rsidRPr="008354C2" w:rsidRDefault="009B059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 Báo cáo quý IV về tình hình tài chính của doanh nghiệp bảo hiểm hàng năm.</w:t>
      </w:r>
    </w:p>
    <w:p w:rsidR="009B059E" w:rsidRPr="008354C2" w:rsidRDefault="009B059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 Báo cáo hàng năm về tổng dự trữ.</w:t>
      </w:r>
    </w:p>
    <w:p w:rsidR="009B059E" w:rsidRPr="008354C2" w:rsidRDefault="009B059E" w:rsidP="00A0401E">
      <w:pPr>
        <w:tabs>
          <w:tab w:val="left" w:pos="993"/>
          <w:tab w:val="left" w:pos="1276"/>
        </w:tabs>
        <w:spacing w:before="120"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 xml:space="preserve">Đạo luật Bảo hiểm Nhân thọ và Phi Nhân thọ quy định về việc thành lập quỹ nhằm mục đích bảo vệ các chủ hợp đồng của các công ty bảo hiểm mất khả năng thanh toán. Khi một công ty bảo hiểm giải thể hoặc bị tuyên bố phá sản, người được bảo hiểm có quyền yêu cầu theo hợp đồng bảo hiểm với tư cách là chủ nợ đối với các tài sản là khoản tiền ký quỹ của Công ty bảo hiểm nộp cho OIC và có thể cưỡng chế các khoản nợ của họ thay cho các khoản nợ khác. Các Đạo luật sửa đổi cũng quy định rằng các khoản tiền có thể được chỉ định bởi một người thanh lý của công ty bảo hiểm thông qua việc thanh lý. </w:t>
      </w:r>
    </w:p>
    <w:p w:rsidR="009B059E" w:rsidRPr="008354C2" w:rsidRDefault="009B059E" w:rsidP="009B059E">
      <w:pPr>
        <w:tabs>
          <w:tab w:val="left" w:pos="993"/>
          <w:tab w:val="left" w:pos="1276"/>
        </w:tabs>
        <w:spacing w:before="120" w:after="120"/>
        <w:jc w:val="both"/>
        <w:rPr>
          <w:rFonts w:ascii="Times New Roman" w:eastAsia="MS PGothic" w:hAnsi="Times New Roman" w:cs="Times New Roman"/>
          <w:b/>
          <w:kern w:val="24"/>
          <w:sz w:val="28"/>
          <w:szCs w:val="28"/>
          <w:lang w:val="fr-FR" w:eastAsia="vi-VN"/>
        </w:rPr>
      </w:pPr>
      <w:r w:rsidRPr="008354C2">
        <w:rPr>
          <w:rFonts w:ascii="Times New Roman" w:eastAsia="MS PGothic" w:hAnsi="Times New Roman" w:cs="Times New Roman"/>
          <w:b/>
          <w:kern w:val="24"/>
          <w:sz w:val="28"/>
          <w:szCs w:val="28"/>
          <w:lang w:val="fr-FR" w:eastAsia="vi-VN"/>
        </w:rPr>
        <w:t>4.8. Malaysia</w:t>
      </w:r>
    </w:p>
    <w:p w:rsidR="009B059E" w:rsidRPr="008354C2" w:rsidRDefault="009B059E" w:rsidP="00A0401E">
      <w:pPr>
        <w:widowControl w:val="0"/>
        <w:tabs>
          <w:tab w:val="left" w:pos="601"/>
        </w:tabs>
        <w:autoSpaceDE w:val="0"/>
        <w:autoSpaceDN w:val="0"/>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(Luật 2013) Trong trường hợp Ngân hàng cho rằng có bất cứ tình huống nào sau đây đang xảy ra đối với một đơn có nguy cơ mất khả năng trả nợ hoặc có nguy cơ mất khả năng hoàn thành bất cứ nghĩa vụ nào; hoặc</w:t>
      </w:r>
    </w:p>
    <w:p w:rsidR="00A0401E" w:rsidRPr="008354C2" w:rsidRDefault="00A0401E" w:rsidP="00A0401E">
      <w:pPr>
        <w:widowControl w:val="0"/>
        <w:autoSpaceDE w:val="0"/>
        <w:autoSpaceDN w:val="0"/>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 xml:space="preserve">(a) </w:t>
      </w:r>
      <w:r w:rsidR="009B059E" w:rsidRPr="008354C2">
        <w:rPr>
          <w:rFonts w:ascii="Times New Roman" w:eastAsia="MS PGothic" w:hAnsi="Times New Roman" w:cs="Times New Roman"/>
          <w:kern w:val="24"/>
          <w:sz w:val="28"/>
          <w:szCs w:val="28"/>
          <w:lang w:val="fr-FR" w:eastAsia="vi-VN"/>
        </w:rPr>
        <w:t>vốn của đơn vị đã tăng hoặc giảm đến mức có thể ảnh hưởng bất lợi đến người mua bảo hiể</w:t>
      </w:r>
      <w:r w:rsidRPr="008354C2">
        <w:rPr>
          <w:rFonts w:ascii="Times New Roman" w:eastAsia="MS PGothic" w:hAnsi="Times New Roman" w:cs="Times New Roman"/>
          <w:kern w:val="24"/>
          <w:sz w:val="28"/>
          <w:szCs w:val="28"/>
          <w:lang w:val="fr-FR" w:eastAsia="vi-VN"/>
        </w:rPr>
        <w:t>m;</w:t>
      </w:r>
    </w:p>
    <w:p w:rsidR="009B059E" w:rsidRPr="008354C2" w:rsidRDefault="00A0401E" w:rsidP="00A0401E">
      <w:pPr>
        <w:widowControl w:val="0"/>
        <w:autoSpaceDE w:val="0"/>
        <w:autoSpaceDN w:val="0"/>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 xml:space="preserve">(b) </w:t>
      </w:r>
      <w:r w:rsidR="009B059E" w:rsidRPr="008354C2">
        <w:rPr>
          <w:rFonts w:ascii="Times New Roman" w:eastAsia="MS PGothic" w:hAnsi="Times New Roman" w:cs="Times New Roman"/>
          <w:kern w:val="24"/>
          <w:sz w:val="28"/>
          <w:szCs w:val="28"/>
          <w:lang w:val="fr-FR" w:eastAsia="vi-VN"/>
        </w:rPr>
        <w:t>có bất cứ tình huống nào đang xảy ra liên quan đến đơn vị mà có thể gây thiệt hại hữu hình đến quyền lợi của người mua bảo hiểm</w:t>
      </w:r>
    </w:p>
    <w:p w:rsidR="009B059E" w:rsidRPr="008354C2" w:rsidRDefault="009B059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Ngân hàng có quyền:</w:t>
      </w:r>
    </w:p>
    <w:p w:rsidR="00A0401E" w:rsidRPr="008354C2" w:rsidRDefault="00A0401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 xml:space="preserve">(1) </w:t>
      </w:r>
      <w:r w:rsidR="009B059E" w:rsidRPr="008354C2">
        <w:rPr>
          <w:rFonts w:ascii="Times New Roman" w:eastAsia="MS PGothic" w:hAnsi="Times New Roman" w:cs="Times New Roman"/>
          <w:kern w:val="24"/>
          <w:sz w:val="28"/>
          <w:szCs w:val="28"/>
          <w:lang w:val="fr-FR" w:eastAsia="vi-VN"/>
        </w:rPr>
        <w:t>Chiếm quyền kiểm soát: Sau khi được Bộ trưởng chấp thuận có thể kiến nghị bằng văn bản để chiếm quyền kiểm soát toàn bộ hoặc một phần hoạt động, thương vụ hoặc tài sản của đơn vị và quản lý toàn bộ hoặc một phần các công việc và thương vụ đó, hoặc bổ nhiệm một cá nhân thực hiện việc này thay cho Ngân hàng. Vào thời điểm kiểm soát toàn bộ hoặc một phần hoạt động, thương vụ hoặc tài sản của đơn vị, Ngân hàng hoặc người được bổ nhiệm phải giám sát và kiểm soát toàn bộ hoặc một phần hoạt động, thương vụ hoặc tài sản của đơn vị, và phải quản lý toàn bộ hoặc một phần hoạt động, thương vụ hoặc tài sản của đơn vị dưới danh nghĩa của đơn vị và thay mặt cho đơn vị đến khi Ngân hàng hủy bỏ kiến nghị bằng văn bản. Ngân hàng hoặc người được bổ nhiệm có thể bán hoặc thanh lý toàn bộ hoặc một phần công việc hoặc tài sản của đơn vị theo các điều khoản và điều kiện do Ngân hàng quy đị</w:t>
      </w:r>
      <w:r w:rsidRPr="008354C2">
        <w:rPr>
          <w:rFonts w:ascii="Times New Roman" w:eastAsia="MS PGothic" w:hAnsi="Times New Roman" w:cs="Times New Roman"/>
          <w:kern w:val="24"/>
          <w:sz w:val="28"/>
          <w:szCs w:val="28"/>
          <w:lang w:val="fr-FR" w:eastAsia="vi-VN"/>
        </w:rPr>
        <w:t>nh.</w:t>
      </w:r>
    </w:p>
    <w:p w:rsidR="009B059E" w:rsidRPr="008354C2" w:rsidRDefault="00A0401E" w:rsidP="00A0401E">
      <w:pPr>
        <w:spacing w:after="120"/>
        <w:jc w:val="both"/>
        <w:rPr>
          <w:rFonts w:ascii="Times New Roman" w:eastAsia="MS PGothic" w:hAnsi="Times New Roman" w:cs="Times New Roman"/>
          <w:kern w:val="24"/>
          <w:sz w:val="28"/>
          <w:szCs w:val="28"/>
          <w:lang w:val="fr-FR" w:eastAsia="vi-VN"/>
        </w:rPr>
      </w:pPr>
      <w:r w:rsidRPr="008354C2">
        <w:rPr>
          <w:rFonts w:ascii="Times New Roman" w:eastAsia="MS PGothic" w:hAnsi="Times New Roman" w:cs="Times New Roman"/>
          <w:kern w:val="24"/>
          <w:sz w:val="28"/>
          <w:szCs w:val="28"/>
          <w:lang w:val="fr-FR" w:eastAsia="vi-VN"/>
        </w:rPr>
        <w:t xml:space="preserve">(2) </w:t>
      </w:r>
      <w:r w:rsidR="009B059E" w:rsidRPr="008354C2">
        <w:rPr>
          <w:rFonts w:ascii="Times New Roman" w:eastAsia="MS PGothic" w:hAnsi="Times New Roman" w:cs="Times New Roman"/>
          <w:kern w:val="24"/>
          <w:sz w:val="28"/>
          <w:szCs w:val="28"/>
          <w:lang w:val="fr-FR" w:eastAsia="vi-VN"/>
        </w:rPr>
        <w:t>Quyền bổ nhiệm người tiếp nhận và người quản lý: Ngân hàng có thể kiến nghị lên Tòa án tối cao để yêu cầu bổ nhiệm một người tiếp nhận và người quản lý để quản lý toàn bộ hoặc một phần hoạt động, thương vụ hoặc tài sản của đơn vị; và mọi mệnh lệnh và chỉ thị bổ sung hoặc phụ thuộc của Tòa án tối cao đối với việc bổ nhiệm nói trên là cần thiết theo ý kiến của Ngân hàng.</w:t>
      </w:r>
    </w:p>
    <w:p w:rsidR="009B059E" w:rsidRPr="008354C2" w:rsidRDefault="009B059E" w:rsidP="009B059E">
      <w:pPr>
        <w:tabs>
          <w:tab w:val="left" w:pos="993"/>
          <w:tab w:val="left" w:pos="1276"/>
        </w:tabs>
        <w:spacing w:before="120" w:after="120"/>
        <w:jc w:val="both"/>
        <w:rPr>
          <w:rFonts w:ascii="Times New Roman" w:eastAsia="Arial" w:hAnsi="Times New Roman" w:cs="Times New Roman"/>
          <w:b/>
          <w:spacing w:val="2"/>
          <w:sz w:val="28"/>
          <w:szCs w:val="28"/>
          <w:lang w:val="fr-FR"/>
        </w:rPr>
      </w:pPr>
      <w:r w:rsidRPr="008354C2">
        <w:rPr>
          <w:rFonts w:ascii="Times New Roman" w:eastAsia="MS PGothic" w:hAnsi="Times New Roman" w:cs="Times New Roman"/>
          <w:i/>
          <w:kern w:val="24"/>
          <w:sz w:val="28"/>
          <w:szCs w:val="28"/>
          <w:lang w:val="fr-FR" w:eastAsia="vi-VN"/>
        </w:rPr>
        <w:t>(Ngân hàng ở đây được hiểu là Ngân hàng trung ương (Bank Negara) là cơ quan quản lý các công ty bảo hiểm)</w:t>
      </w:r>
    </w:p>
    <w:p w:rsidR="008B718D" w:rsidRPr="008354C2" w:rsidRDefault="000649B8" w:rsidP="00AF6E0D">
      <w:pPr>
        <w:spacing w:before="120" w:after="120"/>
        <w:jc w:val="both"/>
        <w:rPr>
          <w:rFonts w:ascii="Times New Roman" w:eastAsia="Arial" w:hAnsi="Times New Roman" w:cs="Times New Roman"/>
          <w:b/>
          <w:sz w:val="28"/>
          <w:szCs w:val="28"/>
          <w:lang w:val="fr-FR"/>
        </w:rPr>
      </w:pPr>
      <w:r w:rsidRPr="008354C2">
        <w:rPr>
          <w:rFonts w:ascii="Times New Roman" w:eastAsia="Arial" w:hAnsi="Times New Roman" w:cs="Times New Roman"/>
          <w:b/>
          <w:sz w:val="28"/>
          <w:szCs w:val="28"/>
          <w:lang w:val="fr-FR"/>
        </w:rPr>
        <w:t>5</w:t>
      </w:r>
      <w:r w:rsidR="008B718D" w:rsidRPr="008354C2">
        <w:rPr>
          <w:rFonts w:ascii="Times New Roman" w:eastAsia="Arial" w:hAnsi="Times New Roman" w:cs="Times New Roman"/>
          <w:b/>
          <w:sz w:val="28"/>
          <w:szCs w:val="28"/>
          <w:lang w:val="fr-FR"/>
        </w:rPr>
        <w:t>. Quy định về việc kết nối liên thông giữa bảo hiểm thương mại và bảo hiểm y tế xã hội</w:t>
      </w:r>
    </w:p>
    <w:p w:rsidR="008B718D" w:rsidRPr="008354C2" w:rsidRDefault="000649B8" w:rsidP="008B718D">
      <w:pPr>
        <w:keepNext/>
        <w:keepLines/>
        <w:snapToGrid w:val="0"/>
        <w:spacing w:after="120"/>
        <w:jc w:val="both"/>
        <w:outlineLvl w:val="1"/>
        <w:rPr>
          <w:rFonts w:ascii="Times New Roman" w:eastAsia="Times New Roman" w:hAnsi="Times New Roman" w:cs="Times New Roman"/>
          <w:b/>
          <w:sz w:val="28"/>
          <w:szCs w:val="28"/>
          <w:lang w:val="fr-FR"/>
        </w:rPr>
      </w:pPr>
      <w:bookmarkStart w:id="5" w:name="_Toc47448092"/>
      <w:r w:rsidRPr="008354C2">
        <w:rPr>
          <w:rFonts w:ascii="Times New Roman" w:eastAsia="Times New Roman" w:hAnsi="Times New Roman" w:cs="Times New Roman"/>
          <w:b/>
          <w:sz w:val="28"/>
          <w:szCs w:val="28"/>
          <w:lang w:val="fr-FR"/>
        </w:rPr>
        <w:t>5</w:t>
      </w:r>
      <w:r w:rsidR="008B718D" w:rsidRPr="008354C2">
        <w:rPr>
          <w:rFonts w:ascii="Times New Roman" w:eastAsia="Times New Roman" w:hAnsi="Times New Roman" w:cs="Times New Roman"/>
          <w:b/>
          <w:sz w:val="28"/>
          <w:szCs w:val="28"/>
          <w:lang w:val="fr-FR"/>
        </w:rPr>
        <w:t>.1.</w:t>
      </w:r>
      <w:r w:rsidR="008B718D" w:rsidRPr="008354C2">
        <w:rPr>
          <w:rFonts w:ascii="Times New Roman" w:eastAsia="Times New Roman" w:hAnsi="Times New Roman" w:cs="Times New Roman"/>
          <w:b/>
          <w:sz w:val="28"/>
          <w:szCs w:val="28"/>
          <w:lang w:val="vi-VN"/>
        </w:rPr>
        <w:t xml:space="preserve"> Singapore</w:t>
      </w:r>
      <w:bookmarkEnd w:id="5"/>
    </w:p>
    <w:p w:rsidR="008B718D" w:rsidRPr="008354C2" w:rsidRDefault="008B718D" w:rsidP="008B718D">
      <w:pPr>
        <w:keepNext/>
        <w:keepLines/>
        <w:snapToGrid w:val="0"/>
        <w:spacing w:after="120"/>
        <w:jc w:val="both"/>
        <w:outlineLvl w:val="1"/>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Một mô hình kết hợp BHYT xã hội và BHSK thương mại của Singapore – một quốc gia được đánh giá có hệ thống chăm sóc sức khoẻ rất hiệu quả. Theo Bloomberg, Singapore là đất nước có hệ thống chăm sóc sức khoẻ hiệu quả nhất thế giới (năm 2014). Hệ thống chăm sóc sức khoẻ tại Singapore được giám sát bởi Bộ Y tế của Chính phủ Singapore. Chi phí chăm sóc sức khoẻ đa dạng từ trợ </w:t>
      </w:r>
      <w:r w:rsidRPr="008354C2">
        <w:rPr>
          <w:rFonts w:ascii="Times New Roman" w:eastAsia="Times New Roman" w:hAnsi="Times New Roman" w:cs="Times New Roman"/>
          <w:spacing w:val="-6"/>
          <w:sz w:val="28"/>
          <w:szCs w:val="28"/>
          <w:lang w:val="vi-VN"/>
        </w:rPr>
        <w:t>cấp trực tiếp của Chính phủ, tiết kiệm bắt buộc, BHYT quốc gia và BHYT của DNBH</w:t>
      </w:r>
      <w:r w:rsidRPr="008354C2">
        <w:rPr>
          <w:rFonts w:ascii="Times New Roman" w:eastAsia="Times New Roman" w:hAnsi="Times New Roman" w:cs="Times New Roman"/>
          <w:sz w:val="28"/>
          <w:szCs w:val="28"/>
          <w:lang w:val="vi-VN"/>
        </w:rPr>
        <w:t>.</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Luật về Quỹ dự phòng Trung ương của Singapore (Central Provident Fund (CPF)) cho phép công dân Singapore tự thiết lập quỹ tích luỹ cho một loạt các chi phí bao gồm cả hưu trí, chăm sóc sức khoẻ và thế chấp mua nhà. Công dân có thể đóng góp hàng tháng vào ba tài khoản khác nhau:</w:t>
      </w:r>
    </w:p>
    <w:p w:rsidR="008B718D" w:rsidRPr="008354C2" w:rsidRDefault="000900C9" w:rsidP="000900C9">
      <w:pPr>
        <w:spacing w:after="120"/>
        <w:contextualSpacing/>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a. </w:t>
      </w:r>
      <w:r w:rsidR="008B718D" w:rsidRPr="008354C2">
        <w:rPr>
          <w:rFonts w:ascii="Times New Roman" w:eastAsia="Times New Roman" w:hAnsi="Times New Roman" w:cs="Times New Roman"/>
          <w:sz w:val="28"/>
          <w:szCs w:val="28"/>
          <w:lang w:val="vi-VN"/>
        </w:rPr>
        <w:t>Tài khoản thông thường cho nhà ở, bảo hiểm, đầu tư và giáo dục;</w:t>
      </w:r>
    </w:p>
    <w:p w:rsidR="008B718D" w:rsidRPr="008354C2" w:rsidRDefault="000900C9" w:rsidP="000900C9">
      <w:pPr>
        <w:spacing w:after="120"/>
        <w:contextualSpacing/>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b. </w:t>
      </w:r>
      <w:r w:rsidR="008B718D" w:rsidRPr="008354C2">
        <w:rPr>
          <w:rFonts w:ascii="Times New Roman" w:eastAsia="Times New Roman" w:hAnsi="Times New Roman" w:cs="Times New Roman"/>
          <w:sz w:val="28"/>
          <w:szCs w:val="28"/>
          <w:lang w:val="vi-VN"/>
        </w:rPr>
        <w:t>Tài khoản đặc biệt cho nghỉ hưu và đầu tư;</w:t>
      </w:r>
    </w:p>
    <w:p w:rsidR="008B718D" w:rsidRPr="008354C2" w:rsidRDefault="000900C9" w:rsidP="000900C9">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c. </w:t>
      </w:r>
      <w:r w:rsidR="008B718D" w:rsidRPr="008354C2">
        <w:rPr>
          <w:rFonts w:ascii="Times New Roman" w:eastAsia="Times New Roman" w:hAnsi="Times New Roman" w:cs="Times New Roman"/>
          <w:sz w:val="28"/>
          <w:szCs w:val="28"/>
          <w:lang w:val="vi-VN"/>
        </w:rPr>
        <w:t>Tài khoản Medisave cho chi phí nằm viện và bảo hiểm y tế.</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MediSave là tài khoản tiết kiệm y tế trong tài khoản CPF của cá nhân thường được đóng góp trong khoảng 8-10,5% tiền lương của một cá nhân (tuỳ theo tuổi) và không được vượt quá 52.000 đô la Singapore mỗi năm. Với người lao động dưới 55 tuổi, </w:t>
      </w:r>
      <w:r w:rsidRPr="008354C2">
        <w:rPr>
          <w:rFonts w:ascii="Times New Roman" w:eastAsia="Times New Roman" w:hAnsi="Times New Roman" w:cs="Times New Roman"/>
          <w:spacing w:val="-4"/>
          <w:sz w:val="28"/>
          <w:szCs w:val="28"/>
          <w:lang w:val="vi-VN"/>
        </w:rPr>
        <w:t xml:space="preserve">mức đóng góp là 20% thu nhập của họ và 17% đóng góp từ người sử dụng lao động. </w:t>
      </w:r>
      <w:r w:rsidRPr="008354C2">
        <w:rPr>
          <w:rFonts w:ascii="Times New Roman" w:eastAsia="Times New Roman" w:hAnsi="Times New Roman" w:cs="Times New Roman"/>
          <w:sz w:val="28"/>
          <w:szCs w:val="28"/>
          <w:lang w:val="vi-VN"/>
        </w:rPr>
        <w:t>MediSave là một chương trình tiết kiệm y tế quốc gia giúp các cá nhân dành một phần thu nhập của họ để trả chi phí y tế cho bản thân họ hoặc cho những người phụ thuộc khi nhập viện, phẫu thuật, chi phí ngoại trú, cũng như nhu cầu chăm sóc sức khoẻ khi về già.</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Giới hạn rút tiền MediSave đã được quy định rõ ràng để đảm bảo rằng người Singapore có đủ tiền tiết tiết kiệm trong tài khoản MediSave đủ để chi trả cho hầu hết các chi phí phát sinh điều trị nội trú và điều trị ngoại trú cũng như cho các nhu cầu chăm sóc sức khoẻ cơ bản khi về già.</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Bên cạnh sử dụng để thanh toán chi phí y tế trong tương lai, MediSave cũng dùng để thanh  toán phí bảo hiểm của các kế hoạch bảo hiểm y tế như sau:</w:t>
      </w:r>
    </w:p>
    <w:p w:rsidR="008B718D" w:rsidRPr="008354C2" w:rsidRDefault="008B718D" w:rsidP="008B718D">
      <w:pPr>
        <w:spacing w:after="120"/>
        <w:contextualSpacing/>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
          <w:sz w:val="28"/>
          <w:szCs w:val="28"/>
          <w:lang w:val="vi-VN"/>
        </w:rPr>
        <w:t>MediShield Life</w:t>
      </w:r>
      <w:r w:rsidRPr="008354C2">
        <w:rPr>
          <w:rFonts w:ascii="Times New Roman" w:eastAsia="Times New Roman" w:hAnsi="Times New Roman" w:cs="Times New Roman"/>
          <w:sz w:val="28"/>
          <w:szCs w:val="28"/>
          <w:lang w:val="vi-VN"/>
        </w:rPr>
        <w:t xml:space="preserve">: là một chương trình bảo hiểm chăm sóc sức khoẻ cơ bản </w:t>
      </w:r>
      <w:r w:rsidRPr="008354C2">
        <w:rPr>
          <w:rFonts w:ascii="Times New Roman" w:eastAsia="Times New Roman" w:hAnsi="Times New Roman" w:cs="Times New Roman"/>
          <w:spacing w:val="-6"/>
          <w:sz w:val="28"/>
          <w:szCs w:val="28"/>
          <w:lang w:val="vi-VN"/>
        </w:rPr>
        <w:t>bắt buộc giúp thanh toán các hoá đơn lớn ở bệnh viện và các điều trị ngoại trú đắt tiền</w:t>
      </w:r>
      <w:r w:rsidRPr="008354C2">
        <w:rPr>
          <w:rFonts w:ascii="Times New Roman" w:eastAsia="Times New Roman" w:hAnsi="Times New Roman" w:cs="Times New Roman"/>
          <w:sz w:val="28"/>
          <w:szCs w:val="28"/>
          <w:lang w:val="vi-VN"/>
        </w:rPr>
        <w:t>.</w:t>
      </w:r>
    </w:p>
    <w:p w:rsidR="008B718D" w:rsidRPr="008354C2" w:rsidRDefault="008B718D" w:rsidP="008B718D">
      <w:pPr>
        <w:spacing w:after="120"/>
        <w:contextualSpacing/>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
          <w:sz w:val="28"/>
          <w:szCs w:val="28"/>
          <w:lang w:val="vi-VN"/>
        </w:rPr>
        <w:t>Integrated Shield Plan (ISP):</w:t>
      </w:r>
      <w:r w:rsidRPr="008354C2">
        <w:rPr>
          <w:rFonts w:ascii="Times New Roman" w:eastAsia="Times New Roman" w:hAnsi="Times New Roman" w:cs="Times New Roman"/>
          <w:sz w:val="28"/>
          <w:szCs w:val="28"/>
          <w:lang w:val="vi-VN"/>
        </w:rPr>
        <w:t xml:space="preserve"> là sản phẩm bảo vệ sức khoẻ kết hợp giữa MediShield Life của nhà nước và bảo hiểm gia tăng phạm vi bảo vệ từ các công ty bảo hiểm tư nhân.</w:t>
      </w:r>
    </w:p>
    <w:p w:rsidR="008B718D" w:rsidRPr="008354C2" w:rsidRDefault="008B718D" w:rsidP="008B718D">
      <w:pPr>
        <w:spacing w:after="120"/>
        <w:contextualSpacing/>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
          <w:sz w:val="28"/>
          <w:szCs w:val="28"/>
          <w:lang w:val="vi-VN"/>
        </w:rPr>
        <w:t>ElderShield</w:t>
      </w:r>
      <w:r w:rsidRPr="008354C2">
        <w:rPr>
          <w:rFonts w:ascii="Times New Roman" w:eastAsia="Times New Roman" w:hAnsi="Times New Roman" w:cs="Times New Roman"/>
          <w:sz w:val="28"/>
          <w:szCs w:val="28"/>
          <w:lang w:val="vi-VN"/>
        </w:rPr>
        <w:t>: là một chương trình bảo hiểm cung cấp bảo vệ tài chính cơ bản cho những người bị khuyết tật không thể thực hiện các hoạt động đơn giản hàng ngày và cần chăm sóc dài hạn, đặc biệt là ở tuổi già.</w:t>
      </w:r>
    </w:p>
    <w:p w:rsidR="008B718D" w:rsidRPr="008354C2" w:rsidRDefault="008B718D" w:rsidP="008B718D">
      <w:pPr>
        <w:spacing w:after="120"/>
        <w:contextualSpacing/>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
          <w:sz w:val="28"/>
          <w:szCs w:val="28"/>
          <w:lang w:val="vi-VN"/>
        </w:rPr>
        <w:t>MediShield Life</w:t>
      </w:r>
      <w:r w:rsidRPr="008354C2">
        <w:rPr>
          <w:rFonts w:ascii="Times New Roman" w:eastAsia="Times New Roman" w:hAnsi="Times New Roman" w:cs="Times New Roman"/>
          <w:sz w:val="28"/>
          <w:szCs w:val="28"/>
          <w:lang w:val="vi-VN"/>
        </w:rPr>
        <w:t xml:space="preserve"> là chương trình bảo hiểm y tế cơ bản, được cung cấp bởi CPF là chương trình bảo hiểm y tế cơ bản bắt buộc dành cho tất cả các công dân mang quốc tịch Singapore và thường trú tại Singapore với chi tiết quyền lợi như sau:</w:t>
      </w:r>
    </w:p>
    <w:p w:rsidR="008B718D" w:rsidRPr="008354C2" w:rsidRDefault="008B718D" w:rsidP="008B718D">
      <w:pPr>
        <w:spacing w:after="120"/>
        <w:contextualSpacing/>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 Bảo hiểm cho quyền lợi nằm viện tại các bệnh viện công hạng phòng B2 </w:t>
      </w:r>
      <w:r w:rsidRPr="008354C2">
        <w:rPr>
          <w:rFonts w:ascii="Times New Roman" w:eastAsia="Times New Roman" w:hAnsi="Times New Roman" w:cs="Times New Roman"/>
          <w:spacing w:val="-4"/>
          <w:sz w:val="28"/>
          <w:szCs w:val="28"/>
          <w:lang w:val="vi-VN"/>
        </w:rPr>
        <w:t>và C và các chi trả chi phí điều trị ngoại trú cao với mức đồng chi trả từ 3% đến 10%.</w:t>
      </w:r>
    </w:p>
    <w:p w:rsidR="000900C9" w:rsidRPr="008354C2" w:rsidRDefault="008B718D" w:rsidP="000900C9">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-Quyền lợi chi trả của MediShield Life với mức chi trả tối đa 100.000 đô la Singapore mỗi năm (với các quy định cụ thể các mức quyền lợi điều trị nội trú, ngoại trú, các loại phẫu thuật…)</w:t>
      </w:r>
    </w:p>
    <w:p w:rsidR="000900C9" w:rsidRPr="008354C2" w:rsidRDefault="00AF6E0D" w:rsidP="000900C9">
      <w:pPr>
        <w:keepNext/>
        <w:keepLines/>
        <w:spacing w:before="120" w:after="120"/>
        <w:jc w:val="both"/>
        <w:outlineLvl w:val="1"/>
        <w:rPr>
          <w:rFonts w:ascii="Times New Roman" w:eastAsia="Times New Roman" w:hAnsi="Times New Roman" w:cs="Times New Roman"/>
          <w:b/>
          <w:sz w:val="28"/>
          <w:szCs w:val="28"/>
          <w:lang w:val="vi-VN"/>
        </w:rPr>
      </w:pPr>
      <w:bookmarkStart w:id="6" w:name="_Toc47448093"/>
      <w:r w:rsidRPr="008354C2">
        <w:rPr>
          <w:rFonts w:ascii="Times New Roman" w:eastAsia="Times New Roman" w:hAnsi="Times New Roman" w:cs="Times New Roman"/>
          <w:b/>
          <w:sz w:val="28"/>
          <w:szCs w:val="28"/>
          <w:lang w:val="vi-VN"/>
        </w:rPr>
        <w:t>5</w:t>
      </w:r>
      <w:r w:rsidR="008B718D" w:rsidRPr="008354C2">
        <w:rPr>
          <w:rFonts w:ascii="Times New Roman" w:eastAsia="Times New Roman" w:hAnsi="Times New Roman" w:cs="Times New Roman"/>
          <w:b/>
          <w:sz w:val="28"/>
          <w:szCs w:val="28"/>
          <w:lang w:val="vi-VN"/>
        </w:rPr>
        <w:t xml:space="preserve">.2. Philippines </w:t>
      </w:r>
    </w:p>
    <w:p w:rsidR="008B718D" w:rsidRPr="008354C2" w:rsidRDefault="000900C9" w:rsidP="000900C9">
      <w:pPr>
        <w:keepNext/>
        <w:keepLines/>
        <w:spacing w:before="120" w:after="120"/>
        <w:jc w:val="both"/>
        <w:outlineLvl w:val="1"/>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Tại Philippines, </w:t>
      </w:r>
      <w:r w:rsidR="008B718D" w:rsidRPr="008354C2">
        <w:rPr>
          <w:rFonts w:ascii="Times New Roman" w:eastAsia="Times New Roman" w:hAnsi="Times New Roman" w:cs="Times New Roman"/>
          <w:sz w:val="28"/>
          <w:szCs w:val="28"/>
          <w:lang w:val="vi-VN"/>
        </w:rPr>
        <w:t>BHSK thương mại vừa có vai trò thay thế, vai trò đồng chi trả và vai trò chi trả bổ sung</w:t>
      </w:r>
      <w:bookmarkEnd w:id="6"/>
      <w:r w:rsidR="00BC6E9C" w:rsidRPr="008354C2">
        <w:rPr>
          <w:rFonts w:ascii="Times New Roman" w:eastAsia="Times New Roman" w:hAnsi="Times New Roman" w:cs="Times New Roman"/>
          <w:sz w:val="28"/>
          <w:szCs w:val="28"/>
          <w:lang w:val="vi-VN"/>
        </w:rPr>
        <w:t>.</w:t>
      </w:r>
    </w:p>
    <w:p w:rsidR="008B718D" w:rsidRPr="008354C2" w:rsidRDefault="008B718D" w:rsidP="008B718D">
      <w:pPr>
        <w:snapToGrid w:val="0"/>
        <w:spacing w:after="120"/>
        <w:jc w:val="both"/>
        <w:textAlignment w:val="baseline"/>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Người dân Philippines sẽ được tự động đưa vào chương trình BHYT quốc gia, chia thành hai nhóm thành viên: Nhóm đóng góp trực tiếp (đóng BHYT PhilHealth, là người có việc làm và bị ràng buộc bởi “mối quan hệ người sử dụng lao động-người lao động”, người tự kiếm sống, người sống bằng nghề tự do và công nhân nước ngoài) và nhóm đóng góp gián tiếp (không thuộc diện nhóm đóng góp trực tiếp, phí BHYT được chính quyền bao cấp).</w:t>
      </w:r>
    </w:p>
    <w:p w:rsidR="008B718D" w:rsidRPr="008354C2" w:rsidRDefault="008B718D" w:rsidP="008B718D">
      <w:pPr>
        <w:snapToGrid w:val="0"/>
        <w:spacing w:after="120"/>
        <w:jc w:val="both"/>
        <w:textAlignment w:val="baseline"/>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Người dân Philippines sẽ có đủ điều kiện “tiếp nhận tức thì” và được tiếp cận toàn bộ dịch vụ khám, chữa bệnh (KCB), bao gồm dự phòng, chữa bệnh, chẩn đoán, phục hồi chức năng và điều trị giảm đau. Luật chăm sóc sức khoẻ toàn dân (Luật UHC) cũng áp dụng với các dịch vụ chăm sóc sức khỏe nha khoa, tâm thần và cấp cứu.</w:t>
      </w:r>
    </w:p>
    <w:p w:rsidR="008B718D" w:rsidRPr="008354C2" w:rsidRDefault="008B718D" w:rsidP="008B718D">
      <w:pPr>
        <w:snapToGrid w:val="0"/>
        <w:spacing w:after="120"/>
        <w:jc w:val="both"/>
        <w:textAlignment w:val="baseline"/>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Người dân được tự chọn đăng ký nơi KCB ban đầu, áp dụng cho KCB ngoại trú, các xét nghiệm, thuốc điều trị. Các phạm vi được hưởng BHYT này cũng sẽ nằm trong gói lợi ích KCB ban đầu của PhilHealth. Nhóm đóng góp trực tiếp sẽ được hưởng nhiều lợi ích hơn khi phí BHYT tăng. Điều này nhằm khuyến khích những người trả phí BHYT cao hơn và những người tự nguyện đóng phí. Đối tượng là người nghèo hoặc người sống ở những vùng xa xôi hẻo lánh sẽ được ưu tiên tiếp cận các dịch vụ y tế.</w:t>
      </w:r>
    </w:p>
    <w:p w:rsidR="008B718D" w:rsidRPr="008354C2" w:rsidRDefault="008B718D" w:rsidP="008B718D">
      <w:pPr>
        <w:snapToGrid w:val="0"/>
        <w:spacing w:after="120"/>
        <w:jc w:val="both"/>
        <w:textAlignment w:val="baseline"/>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Bất kể ở bệnh viện công hay bệnh viện tư, PhilHealth sẽ chi trả tiền phòng nội trú cơ bản bao gồm các bữa ăn thông thường, giường bệnh trong một phòng chung có quạt và phòng vệ sinh công cộng. Trong trường hợp người bệnh muốn ở phòng riêng có điều hòa, ti vi và lựa chọn bữa ăn thì sẽ không có trong gói BHYT cơ bản. Ngoài “gói lợi ích y tế thiết yếu” mà người bệnh được hưởng BHYT, các khoản phụ phí sẽ chịu sự kiểm soát của Bộ Y tế ở các bệnh viện công và sẽ thông báo trước cho người bệnh. Mức đóng hoặc các gói BHYT cho các bệnh nhất định (chẳng hạn như bệnh ung thư), PhilHealth đang nghiên cứu để bổ sung danh mục chi trả cho người bệnh.</w:t>
      </w:r>
    </w:p>
    <w:p w:rsidR="008B718D" w:rsidRPr="008354C2" w:rsidRDefault="008B718D" w:rsidP="008B718D">
      <w:pPr>
        <w:snapToGrid w:val="0"/>
        <w:spacing w:after="120"/>
        <w:jc w:val="both"/>
        <w:textAlignment w:val="baseline"/>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Theo đó, PhilHealth sẽ chịu trách nhiệm thanh toán cho các nhà cung cấp y tế (bệnh viện, phòng KCB) với những dịch vụ mà họ cung cấp. Đây là công việc mà PhilHealth đã thực hiện nhiều năm qua (khả năng chi trả bảo hiểm của PhilHealth năm 2018 chiếm 98% tổng BHYT cả nước), nhưng với đạo luật UHC, PhilHealth sẽ chi trả BHYT cho 100% người dân Philippines. Để thực hiện được điều này, Bộ Y tế Philippines sẽ phân bổ thêm các nguồn quỹ cho PhilHealth, được lấy từ nhiều nguồn, như: Thu nhập từ Tập đoàn Giải trí và Trò chơi Philippines, quỹ từ thiện của Cơ quan Rút thăm trúng thưởng từ thiện Philippines (hai tập đoàn này đều thuộc sở hữu của chính phủ), ngân sách hằng năm của PhilHealth và Bộ Y tế, tiền trợ cấp của chính phủ cho PhilHealth và tiền thu được từ việc đánh thuế rượu, thuốc lá. Ngân sách gia tăng đồng nghĩa với năng lực đàm phán của PhilHealth với các nhà cung cấp y tế sẽ được tăng cường, từ đó giảm bớt chi phí y tế và nâng cao chất lượng dịch vụ. Đồng thời, trở thành nhà mua dược phẩm quốc gia, PhilHealth có thể mua thuốc với số lượng lớn, nhờ đó giảm chi phí cho thuốc.</w:t>
      </w:r>
    </w:p>
    <w:p w:rsidR="008B718D" w:rsidRPr="008354C2" w:rsidRDefault="008B718D" w:rsidP="008B718D">
      <w:pPr>
        <w:snapToGrid w:val="0"/>
        <w:spacing w:after="120"/>
        <w:jc w:val="both"/>
        <w:textAlignment w:val="baseline"/>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Các tỉnh và thành phố đô thị hóa cao sẽ chịu trách nhiệm giám sát các dịch vụ y tế ở các khu vực, thay cho việc các thành phố tự trị tự quản lý các trung tâm y tế của mình như hiện nay. Bộ Y tế sẽ làm việc với Bộ Nội vụ và chính quyền địa phương để xây dựng các hệ thống hoặc mạng lưới y tế toàn tỉnh và thành phố trong vòng hai năm sau khi đạo luật UHC có hiệu lực. Giải pháp này sẽ khắc phục được vấn đề sự tiếp cận không đầy đủ với các dịch vụ y tế do thiếu hụt ngân quỹ ở các thành phố tự trị. Ủy ban y tế tỉnh và thành phố sẽ được thành lập nhằm thu hút và quản lý quỹ y tế đặc biệt với chức năng tài trợ và cải thiện các dịch vụ y tế cho người dân.</w:t>
      </w:r>
    </w:p>
    <w:p w:rsidR="00BC6E9C" w:rsidRPr="008354C2" w:rsidRDefault="00AF6E0D" w:rsidP="008B718D">
      <w:pPr>
        <w:keepNext/>
        <w:keepLines/>
        <w:spacing w:after="120"/>
        <w:outlineLvl w:val="1"/>
        <w:rPr>
          <w:rFonts w:ascii="Times New Roman" w:eastAsia="Times New Roman" w:hAnsi="Times New Roman" w:cs="Times New Roman"/>
          <w:b/>
          <w:sz w:val="28"/>
          <w:szCs w:val="28"/>
          <w:lang w:val="vi-VN"/>
        </w:rPr>
      </w:pPr>
      <w:bookmarkStart w:id="7" w:name="_Toc47448094"/>
      <w:r w:rsidRPr="008354C2">
        <w:rPr>
          <w:rFonts w:ascii="Times New Roman" w:eastAsia="Times New Roman" w:hAnsi="Times New Roman" w:cs="Times New Roman"/>
          <w:b/>
          <w:sz w:val="28"/>
          <w:szCs w:val="28"/>
          <w:lang w:val="vi-VN"/>
        </w:rPr>
        <w:t>5</w:t>
      </w:r>
      <w:r w:rsidR="008B718D" w:rsidRPr="008354C2">
        <w:rPr>
          <w:rFonts w:ascii="Times New Roman" w:eastAsia="Times New Roman" w:hAnsi="Times New Roman" w:cs="Times New Roman"/>
          <w:b/>
          <w:sz w:val="28"/>
          <w:szCs w:val="28"/>
          <w:lang w:val="vi-VN"/>
        </w:rPr>
        <w:t xml:space="preserve">.3. Pháp </w:t>
      </w:r>
    </w:p>
    <w:p w:rsidR="008B718D" w:rsidRPr="008354C2" w:rsidRDefault="00BC6E9C" w:rsidP="008B718D">
      <w:pPr>
        <w:keepNext/>
        <w:keepLines/>
        <w:spacing w:after="120"/>
        <w:outlineLvl w:val="1"/>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Tại Pháp, </w:t>
      </w:r>
      <w:r w:rsidR="008B718D" w:rsidRPr="008354C2">
        <w:rPr>
          <w:rFonts w:ascii="Times New Roman" w:eastAsia="Times New Roman" w:hAnsi="Times New Roman" w:cs="Times New Roman"/>
          <w:sz w:val="28"/>
          <w:szCs w:val="28"/>
          <w:lang w:val="vi-VN"/>
        </w:rPr>
        <w:t xml:space="preserve">BHSK thương mại </w:t>
      </w:r>
      <w:r w:rsidRPr="008354C2">
        <w:rPr>
          <w:rFonts w:ascii="Times New Roman" w:eastAsia="Times New Roman" w:hAnsi="Times New Roman" w:cs="Times New Roman"/>
          <w:sz w:val="28"/>
          <w:szCs w:val="28"/>
          <w:lang w:val="vi-VN"/>
        </w:rPr>
        <w:t xml:space="preserve">có </w:t>
      </w:r>
      <w:r w:rsidR="008B718D" w:rsidRPr="008354C2">
        <w:rPr>
          <w:rFonts w:ascii="Times New Roman" w:eastAsia="Times New Roman" w:hAnsi="Times New Roman" w:cs="Times New Roman"/>
          <w:sz w:val="28"/>
          <w:szCs w:val="28"/>
          <w:lang w:val="vi-VN"/>
        </w:rPr>
        <w:t>vai trò đồng chi trả</w:t>
      </w:r>
      <w:bookmarkEnd w:id="7"/>
      <w:r w:rsidRPr="008354C2">
        <w:rPr>
          <w:rFonts w:ascii="Times New Roman" w:eastAsia="Times New Roman" w:hAnsi="Times New Roman" w:cs="Times New Roman"/>
          <w:sz w:val="28"/>
          <w:szCs w:val="28"/>
          <w:lang w:val="vi-VN"/>
        </w:rPr>
        <w:t>.</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Hiện nay, hệ thống BHYT của Pháp gồm hai hình thức BHYT xã hội bắt buộc và BHSK thương mại, trong đó BHYT xã hội là hình thức chủ yếu. Mọi người dân Pháp đều phải tham gia BHYT bắt buộc, tùy theo nghề nghiệp, đối tượng sẽ tham gia vào một trong 3 hệ thống BHYT bắt buộc: (i) hệ thống chung (Caisse Nationale de l’Asruance Maladie des Traveailleurs Salaries – CNAMTS) dành cho người lao động trong lĩnh vực công nghiệp, thương mại và gia đình họ và các đối tượng theo Luật BHYT toàn dân; (ii) hệ thống nông nghiệp (Nationale Caisse d’Assurance Maladie et Maternite des Travailleurs non – Salaries des Professions non Agricoles – CANAM) dành cho thợ tiểu thủ công và những người thuê mướn bao gồm cả những người tự thuê mướn trình độ cao như luật sư, bác sĩ, ca sĩ, vận động viện v.v. Nhìn chung, đối tượng tham gia BHYT xã hội ở Pháp được pháp luật quy định rộng rãi, bao phủ toàn bộ dân số.</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Ngoài ra, người dân cũng có thể tham gia BHSK thương mại bổ sung để được hưởng quyền lợi cao hơn như được thanh toán các khoản đồng chi trả hoặc thanh toán những dịch vụ y tế không được BHYT xã hội thanh toán. BHSK thương mại bổ sung được cung cấp bởi các công ty bảo hiểm thương mại khác nhau. Khi tham gia BHSK thương mại bổ sung, mỗi người tham gia đóng góp vào quỹ bảo hiểm thương mại một tỷ lệ phần trăm nhất định phần tiền lương sau khi đã đóng BHYT xã hội bắt buộc. BHSK thương mại sẽ thanh toán cho người tham gia phần chi phí chăm sóc sức khỏe không được quỹ BHYT xã hội chi trả, phần chênh lệch giữa giá dịch vụ thực tế và giá quy định của BHYT xã hội, các hàng hóa và dịch vụ không nằm trong danh sách được thanh toán hoặc thuốc không theo kê đơn, các dịch vụ theo yêu cầu riêng khi nằm viện không thuộc danh mục được BHYT bắt buộc thanh toán (ví dụ như nằm phòng tiêng). Đến nay, có hơn 90% dân số Pháp tham gia BHSK thương mại bổ sung.</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Như vậy, hệ thống BHYT của Pháp là sự kết hợp giữa hai hình thức BHYT xã hội bắt buộc và BHSK thương mại bổ sung theo cơ chế đồng chi trả. BHYT thường chỉ chi trả một tỷ lệ nhất định chi phí khám chữa bệnh của bệnh nhân tùy theo từng dịch vụ y tế và đối tượng tham gia, phần còn lại sẽ do bệnh nhân tự chi trả. Tuy nhiên, hầu hết người Pháp tham gia BHSK thương mại bổ sung để được chi trả nốt phàn chi phí không được BHYT xã hội chi trả.</w:t>
      </w:r>
    </w:p>
    <w:p w:rsidR="00152BE4" w:rsidRPr="008354C2" w:rsidRDefault="00AF6E0D" w:rsidP="008B718D">
      <w:pPr>
        <w:keepNext/>
        <w:keepLines/>
        <w:spacing w:after="120"/>
        <w:outlineLvl w:val="1"/>
        <w:rPr>
          <w:rFonts w:ascii="Times New Roman" w:eastAsia="Times New Roman" w:hAnsi="Times New Roman" w:cs="Times New Roman (Headings CS)"/>
          <w:b/>
          <w:spacing w:val="-8"/>
          <w:sz w:val="28"/>
          <w:szCs w:val="28"/>
          <w:lang w:val="vi-VN"/>
        </w:rPr>
      </w:pPr>
      <w:bookmarkStart w:id="8" w:name="_Toc47448095"/>
      <w:r w:rsidRPr="008354C2">
        <w:rPr>
          <w:rFonts w:ascii="Times New Roman" w:eastAsia="Times New Roman" w:hAnsi="Times New Roman" w:cs="Times New Roman (Headings CS)"/>
          <w:b/>
          <w:spacing w:val="-8"/>
          <w:sz w:val="28"/>
          <w:szCs w:val="28"/>
          <w:lang w:val="vi-VN"/>
        </w:rPr>
        <w:t>5</w:t>
      </w:r>
      <w:r w:rsidR="008B718D" w:rsidRPr="008354C2">
        <w:rPr>
          <w:rFonts w:ascii="Times New Roman" w:eastAsia="Times New Roman" w:hAnsi="Times New Roman" w:cs="Times New Roman (Headings CS)"/>
          <w:b/>
          <w:spacing w:val="-8"/>
          <w:sz w:val="28"/>
          <w:szCs w:val="28"/>
          <w:lang w:val="vi-VN"/>
        </w:rPr>
        <w:t xml:space="preserve">.4. Úc </w:t>
      </w:r>
    </w:p>
    <w:p w:rsidR="008B718D" w:rsidRPr="008354C2" w:rsidRDefault="00152BE4" w:rsidP="008B718D">
      <w:pPr>
        <w:keepNext/>
        <w:keepLines/>
        <w:spacing w:after="120"/>
        <w:outlineLvl w:val="1"/>
        <w:rPr>
          <w:rFonts w:ascii="Times New Roman" w:eastAsia="Times New Roman" w:hAnsi="Times New Roman" w:cs="Times New Roman (Headings CS)"/>
          <w:spacing w:val="-8"/>
          <w:sz w:val="28"/>
          <w:szCs w:val="28"/>
          <w:lang w:val="vi-VN"/>
        </w:rPr>
      </w:pPr>
      <w:r w:rsidRPr="008354C2">
        <w:rPr>
          <w:rFonts w:ascii="Times New Roman" w:eastAsia="Times New Roman" w:hAnsi="Times New Roman" w:cs="Times New Roman (Headings CS)"/>
          <w:spacing w:val="-8"/>
          <w:sz w:val="28"/>
          <w:szCs w:val="28"/>
          <w:lang w:val="vi-VN"/>
        </w:rPr>
        <w:t xml:space="preserve">Tại Úc, </w:t>
      </w:r>
      <w:r w:rsidR="008B718D" w:rsidRPr="008354C2">
        <w:rPr>
          <w:rFonts w:ascii="Times New Roman" w:eastAsia="Times New Roman" w:hAnsi="Times New Roman" w:cs="Times New Roman (Headings CS)"/>
          <w:spacing w:val="-8"/>
          <w:sz w:val="28"/>
          <w:szCs w:val="28"/>
          <w:lang w:val="vi-VN"/>
        </w:rPr>
        <w:t>BHSK thương mại có vai trò thay thế và chi trả bổ sung</w:t>
      </w:r>
      <w:bookmarkEnd w:id="8"/>
      <w:r w:rsidRPr="008354C2">
        <w:rPr>
          <w:rFonts w:ascii="Times New Roman" w:eastAsia="Times New Roman" w:hAnsi="Times New Roman" w:cs="Times New Roman (Headings CS)"/>
          <w:spacing w:val="-8"/>
          <w:sz w:val="28"/>
          <w:szCs w:val="28"/>
          <w:lang w:val="vi-VN"/>
        </w:rPr>
        <w:t>.</w:t>
      </w:r>
    </w:p>
    <w:p w:rsidR="008B718D" w:rsidRPr="008354C2" w:rsidRDefault="008B718D" w:rsidP="008B718D">
      <w:pPr>
        <w:tabs>
          <w:tab w:val="left" w:pos="567"/>
        </w:tabs>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Người dân có thể lựa chọn chỉ có BHYT xã hội </w:t>
      </w:r>
      <w:r w:rsidRPr="008354C2">
        <w:rPr>
          <w:rFonts w:ascii="Times New Roman" w:eastAsia="Times New Roman" w:hAnsi="Times New Roman" w:cs="Times New Roman"/>
          <w:b/>
          <w:bCs/>
          <w:sz w:val="28"/>
          <w:szCs w:val="28"/>
          <w:lang w:val="vi-VN"/>
        </w:rPr>
        <w:t>Medicare</w:t>
      </w:r>
      <w:r w:rsidRPr="008354C2">
        <w:rPr>
          <w:rFonts w:ascii="Times New Roman" w:eastAsia="Times New Roman" w:hAnsi="Times New Roman" w:cs="Times New Roman"/>
          <w:sz w:val="28"/>
          <w:szCs w:val="28"/>
          <w:lang w:val="vi-VN"/>
        </w:rPr>
        <w:t xml:space="preserve">, hoặc có cả Medicare và BHSK thương mại. Gói quyền lợi của </w:t>
      </w:r>
      <w:r w:rsidRPr="008354C2">
        <w:rPr>
          <w:rFonts w:ascii="Times New Roman" w:eastAsia="Times New Roman" w:hAnsi="Times New Roman" w:cs="Times New Roman"/>
          <w:b/>
          <w:bCs/>
          <w:sz w:val="28"/>
          <w:szCs w:val="28"/>
          <w:lang w:val="vi-VN"/>
        </w:rPr>
        <w:t>Medicare</w:t>
      </w:r>
      <w:r w:rsidRPr="008354C2">
        <w:rPr>
          <w:rFonts w:ascii="Times New Roman" w:eastAsia="Times New Roman" w:hAnsi="Times New Roman" w:cs="Times New Roman"/>
          <w:sz w:val="28"/>
          <w:szCs w:val="28"/>
          <w:lang w:val="vi-VN"/>
        </w:rPr>
        <w:t xml:space="preserve"> bao gồm:</w:t>
      </w:r>
    </w:p>
    <w:p w:rsidR="008B718D" w:rsidRPr="008354C2" w:rsidRDefault="008B718D" w:rsidP="008B718D">
      <w:pPr>
        <w:tabs>
          <w:tab w:val="left" w:pos="567"/>
        </w:tabs>
        <w:spacing w:after="120"/>
        <w:jc w:val="both"/>
        <w:rPr>
          <w:rFonts w:ascii="Times New Roman" w:eastAsia="Times New Roman" w:hAnsi="Times New Roman" w:cs="Times New Roman (Body CS)"/>
          <w:spacing w:val="-4"/>
          <w:sz w:val="28"/>
          <w:szCs w:val="28"/>
          <w:lang w:val="vi-VN"/>
        </w:rPr>
      </w:pPr>
      <w:r w:rsidRPr="008354C2">
        <w:rPr>
          <w:rFonts w:ascii="Times New Roman" w:eastAsia="Times New Roman" w:hAnsi="Times New Roman" w:cs="Times New Roman"/>
          <w:sz w:val="28"/>
          <w:szCs w:val="28"/>
          <w:lang w:val="vi-VN"/>
        </w:rPr>
        <w:t xml:space="preserve">- </w:t>
      </w:r>
      <w:r w:rsidRPr="008354C2">
        <w:rPr>
          <w:rFonts w:ascii="Times New Roman" w:eastAsia="Times New Roman" w:hAnsi="Times New Roman" w:cs="Times New Roman (Body CS)"/>
          <w:bCs/>
          <w:spacing w:val="-4"/>
          <w:sz w:val="28"/>
          <w:szCs w:val="28"/>
          <w:lang w:val="vi-VN"/>
        </w:rPr>
        <w:t xml:space="preserve"> Bệnh viện</w:t>
      </w:r>
      <w:r w:rsidRPr="008354C2">
        <w:rPr>
          <w:rFonts w:ascii="Times New Roman" w:eastAsia="Times New Roman" w:hAnsi="Times New Roman" w:cs="Times New Roman (Body CS)"/>
          <w:spacing w:val="-4"/>
          <w:sz w:val="28"/>
          <w:szCs w:val="28"/>
          <w:lang w:val="vi-VN"/>
        </w:rPr>
        <w:t>: Các bác sĩ của bệnh viện chăm sóc miễn phí tại bệnh viện công.</w:t>
      </w:r>
    </w:p>
    <w:p w:rsidR="008B718D" w:rsidRPr="008354C2" w:rsidRDefault="008B718D" w:rsidP="008B718D">
      <w:pPr>
        <w:tabs>
          <w:tab w:val="left" w:pos="567"/>
        </w:tabs>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Body CS)"/>
          <w:spacing w:val="-4"/>
          <w:sz w:val="28"/>
          <w:szCs w:val="28"/>
          <w:lang w:val="vi-VN"/>
        </w:rPr>
        <w:t xml:space="preserve">- </w:t>
      </w:r>
      <w:r w:rsidRPr="008354C2">
        <w:rPr>
          <w:rFonts w:ascii="Times New Roman" w:eastAsia="Times New Roman" w:hAnsi="Times New Roman" w:cs="Times New Roman"/>
          <w:bCs/>
          <w:sz w:val="28"/>
          <w:szCs w:val="28"/>
          <w:lang w:val="vi-VN"/>
        </w:rPr>
        <w:t>Chăm sóc y tế ngoài bệnh viện (</w:t>
      </w:r>
      <w:r w:rsidRPr="008354C2">
        <w:rPr>
          <w:rFonts w:ascii="Times New Roman" w:eastAsia="Times New Roman" w:hAnsi="Times New Roman" w:cs="Times New Roman"/>
          <w:sz w:val="28"/>
          <w:szCs w:val="28"/>
          <w:lang w:val="vi-VN"/>
        </w:rPr>
        <w:t>Medicare Benefits Schedule</w:t>
      </w:r>
      <w:r w:rsidRPr="008354C2">
        <w:rPr>
          <w:rFonts w:ascii="Times New Roman" w:eastAsia="Times New Roman" w:hAnsi="Times New Roman" w:cs="Times New Roman"/>
          <w:bCs/>
          <w:sz w:val="28"/>
          <w:szCs w:val="28"/>
          <w:lang w:val="vi-VN"/>
        </w:rPr>
        <w:t xml:space="preserve"> -MBS):</w:t>
      </w:r>
      <w:r w:rsidRPr="008354C2">
        <w:rPr>
          <w:rFonts w:ascii="Times New Roman" w:eastAsia="Times New Roman" w:hAnsi="Times New Roman" w:cs="Times New Roman"/>
          <w:b/>
          <w:bCs/>
          <w:sz w:val="28"/>
          <w:szCs w:val="28"/>
          <w:lang w:val="vi-VN"/>
        </w:rPr>
        <w:t xml:space="preserve"> </w:t>
      </w:r>
      <w:r w:rsidRPr="008354C2">
        <w:rPr>
          <w:rFonts w:ascii="Times New Roman" w:eastAsia="Times New Roman" w:hAnsi="Times New Roman" w:cs="Times New Roman"/>
          <w:sz w:val="28"/>
          <w:szCs w:val="28"/>
          <w:lang w:val="vi-VN"/>
        </w:rPr>
        <w:t>thanh toán 100% chi phí theo giá quy định của Nhà nước trong gói quyền lợi dịch vụ y tế (MBS) nếu do bác sĩ đa khoa và 85% chi phí nếu được bác sĩ chuyên khoa cấp.</w:t>
      </w:r>
    </w:p>
    <w:p w:rsidR="008B718D" w:rsidRPr="008354C2" w:rsidRDefault="008B718D" w:rsidP="008B718D">
      <w:pPr>
        <w:tabs>
          <w:tab w:val="left" w:pos="567"/>
        </w:tabs>
        <w:spacing w:after="120"/>
        <w:jc w:val="both"/>
        <w:rPr>
          <w:rFonts w:ascii="Times New Roman" w:eastAsia="Times New Roman" w:hAnsi="Times New Roman" w:cs="Times New Roman (Body CS)"/>
          <w:spacing w:val="-4"/>
          <w:sz w:val="28"/>
          <w:szCs w:val="28"/>
          <w:lang w:val="vi-VN"/>
        </w:rPr>
      </w:pPr>
      <w:r w:rsidRPr="008354C2">
        <w:rPr>
          <w:rFonts w:ascii="Times New Roman" w:eastAsia="Times New Roman" w:hAnsi="Times New Roman" w:cs="Times New Roman"/>
          <w:sz w:val="28"/>
          <w:szCs w:val="28"/>
          <w:lang w:val="vi-VN"/>
        </w:rPr>
        <w:t xml:space="preserve">- </w:t>
      </w:r>
      <w:r w:rsidRPr="008354C2">
        <w:rPr>
          <w:rFonts w:ascii="Times New Roman" w:eastAsia="Times New Roman" w:hAnsi="Times New Roman" w:cs="Times New Roman"/>
          <w:bCs/>
          <w:sz w:val="28"/>
          <w:szCs w:val="28"/>
          <w:lang w:val="vi-VN"/>
        </w:rPr>
        <w:t>Gói quyền lợi về dược phẩm (</w:t>
      </w:r>
      <w:r w:rsidRPr="008354C2">
        <w:rPr>
          <w:rFonts w:ascii="Times New Roman" w:eastAsia="Times New Roman" w:hAnsi="Times New Roman" w:cs="Times New Roman"/>
          <w:sz w:val="28"/>
          <w:szCs w:val="28"/>
          <w:lang w:val="vi-VN"/>
        </w:rPr>
        <w:t xml:space="preserve">Pharmaceutical Benefit Schemes - </w:t>
      </w:r>
      <w:r w:rsidRPr="008354C2">
        <w:rPr>
          <w:rFonts w:ascii="Times New Roman" w:eastAsia="Times New Roman" w:hAnsi="Times New Roman" w:cs="Times New Roman"/>
          <w:bCs/>
          <w:sz w:val="28"/>
          <w:szCs w:val="28"/>
          <w:lang w:val="vi-VN"/>
        </w:rPr>
        <w:t>PBS)</w:t>
      </w:r>
      <w:r w:rsidRPr="008354C2">
        <w:rPr>
          <w:rFonts w:ascii="Times New Roman" w:eastAsia="Times New Roman" w:hAnsi="Times New Roman" w:cs="Times New Roman"/>
          <w:sz w:val="28"/>
          <w:szCs w:val="28"/>
          <w:lang w:val="vi-VN"/>
        </w:rPr>
        <w:t>: Đa phần chi phí thuốc theo đơn được thanh toán trong gói quyền lợi về dược phẩm (PBS), mua tại hiệu thuốc với một tỷ lệ nhất định do người bệnh chi trả.</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Cs/>
          <w:sz w:val="28"/>
          <w:szCs w:val="28"/>
          <w:lang w:val="vi-VN"/>
        </w:rPr>
        <w:t xml:space="preserve">BHSK thương mại ở Úc vừa có tính chất thay thế, vừa có tính chất chi trả bổ sung với BHYT xã hội, cụ thể như sau: </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Cs/>
          <w:sz w:val="28"/>
          <w:szCs w:val="28"/>
          <w:lang w:val="vi-VN"/>
        </w:rPr>
        <w:t xml:space="preserve">- Vai trò thay thế tại bệnh viện: </w:t>
      </w:r>
      <w:r w:rsidRPr="008354C2">
        <w:rPr>
          <w:rFonts w:ascii="Times New Roman" w:eastAsia="Times New Roman" w:hAnsi="Times New Roman" w:cs="Times New Roman"/>
          <w:sz w:val="28"/>
          <w:szCs w:val="28"/>
          <w:lang w:val="vi-VN"/>
        </w:rPr>
        <w:t xml:space="preserve">Bảo hiểm dịch vụ nội trú tại bệnh viện tư nhân (BHSK thương mại thanh toán 100% chi phí) hoặc giường theo yêu cầu tại bệnh viện công (Medicare trả 75%, </w:t>
      </w:r>
      <w:r w:rsidRPr="008354C2">
        <w:rPr>
          <w:rFonts w:ascii="Times New Roman" w:eastAsia="Times New Roman" w:hAnsi="Times New Roman" w:cs="Times New Roman (Body CS)"/>
          <w:spacing w:val="-6"/>
          <w:sz w:val="28"/>
          <w:szCs w:val="28"/>
          <w:lang w:val="vi-VN"/>
        </w:rPr>
        <w:t>BHSK thương mại trả 25%) đối với dịch vụ được liệt kê trong gói quyền lợi dịch vụ y tế (MBS).</w:t>
      </w:r>
      <w:r w:rsidRPr="008354C2">
        <w:rPr>
          <w:rFonts w:ascii="Times New Roman" w:eastAsia="Times New Roman" w:hAnsi="Times New Roman" w:cs="Times New Roman"/>
          <w:sz w:val="28"/>
          <w:szCs w:val="28"/>
          <w:lang w:val="vi-VN"/>
        </w:rPr>
        <w:t xml:space="preserve"> Các dịch vụ không có trong gói quyền lợi của MBS thường không được BHSK thương mại chi trả, ví dụ phẫu thuật thẩm mỹ, mổ lasik....</w:t>
      </w:r>
    </w:p>
    <w:p w:rsidR="008B718D" w:rsidRPr="008354C2" w:rsidRDefault="008B718D" w:rsidP="008B718D">
      <w:pPr>
        <w:tabs>
          <w:tab w:val="left" w:pos="851"/>
        </w:tabs>
        <w:spacing w:after="120"/>
        <w:contextualSpacing/>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Cs/>
          <w:sz w:val="28"/>
          <w:szCs w:val="28"/>
          <w:lang w:val="vi-VN"/>
        </w:rPr>
        <w:t>- Vai trò chi trả bổ sung đối với dịch vụ ngoài bệnh viện (được gọi là bảo hiểm gói dịch vụ phụ thêm):</w:t>
      </w:r>
      <w:r w:rsidRPr="008354C2">
        <w:rPr>
          <w:rFonts w:ascii="Times New Roman" w:eastAsia="Times New Roman" w:hAnsi="Times New Roman" w:cs="Times New Roman"/>
          <w:sz w:val="28"/>
          <w:szCs w:val="28"/>
          <w:lang w:val="vi-VN"/>
        </w:rPr>
        <w:t xml:space="preserve"> Gói quyền lợi phụ thuộc bên bán BHSK thương mại, nhưng có thể bao gồm dịch vụ nha khoa, chỉnh nha, khám mắt, thuốc ngoài gói PBS, vật lý trị liệu, tâm lý lâm sàng,...</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Một số nguyên lý và đặc tính của quy định liên quan BHSK thương mại, theo Luật Bảo hiểm y tế tư nhân 2007:</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
          <w:bCs/>
          <w:sz w:val="28"/>
          <w:szCs w:val="28"/>
          <w:lang w:val="vi-VN"/>
        </w:rPr>
        <w:t xml:space="preserve">- </w:t>
      </w:r>
      <w:r w:rsidRPr="008354C2">
        <w:rPr>
          <w:rFonts w:ascii="Times New Roman" w:eastAsia="Times New Roman" w:hAnsi="Times New Roman" w:cs="Times New Roman"/>
          <w:bCs/>
          <w:sz w:val="28"/>
          <w:szCs w:val="28"/>
          <w:lang w:val="vi-VN"/>
        </w:rPr>
        <w:t>Định phí cộng đồng:</w:t>
      </w:r>
      <w:r w:rsidRPr="008354C2">
        <w:rPr>
          <w:rFonts w:ascii="Times New Roman" w:eastAsia="Times New Roman" w:hAnsi="Times New Roman" w:cs="Times New Roman"/>
          <w:b/>
          <w:bCs/>
          <w:sz w:val="28"/>
          <w:szCs w:val="28"/>
          <w:lang w:val="vi-VN"/>
        </w:rPr>
        <w:t xml:space="preserve"> </w:t>
      </w:r>
      <w:r w:rsidRPr="008354C2">
        <w:rPr>
          <w:rFonts w:ascii="Times New Roman" w:eastAsia="Times New Roman" w:hAnsi="Times New Roman" w:cs="Times New Roman"/>
          <w:sz w:val="28"/>
          <w:szCs w:val="28"/>
          <w:lang w:val="vi-VN"/>
        </w:rPr>
        <w:t>Ai cũng có quyền mua gói BHYT như nhau, theo cùng một mức giá, và có quyền gia hạn hợp đồng, bất kể tuổi và yếu tố rủi ro.</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Cs/>
          <w:sz w:val="28"/>
          <w:szCs w:val="28"/>
          <w:lang w:val="vi-VN"/>
        </w:rPr>
        <w:t xml:space="preserve">- Đăng ký mở: </w:t>
      </w:r>
      <w:r w:rsidRPr="008354C2">
        <w:rPr>
          <w:rFonts w:ascii="Times New Roman" w:eastAsia="Times New Roman" w:hAnsi="Times New Roman" w:cs="Times New Roman"/>
          <w:sz w:val="28"/>
          <w:szCs w:val="28"/>
          <w:lang w:val="vi-VN"/>
        </w:rPr>
        <w:t>BHSK thương mại không thể từ chối người muốn mua BHSK thương mại.</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
          <w:bCs/>
          <w:sz w:val="28"/>
          <w:szCs w:val="28"/>
          <w:lang w:val="vi-VN"/>
        </w:rPr>
        <w:t xml:space="preserve">- </w:t>
      </w:r>
      <w:r w:rsidRPr="008354C2">
        <w:rPr>
          <w:rFonts w:ascii="Times New Roman" w:eastAsia="Times New Roman" w:hAnsi="Times New Roman" w:cs="Times New Roman"/>
          <w:bCs/>
          <w:sz w:val="28"/>
          <w:szCs w:val="28"/>
          <w:lang w:val="vi-VN"/>
        </w:rPr>
        <w:t>Có cơ chế khuyến khích người dân tham gia BHSK thương mại sớm:</w:t>
      </w:r>
      <w:r w:rsidRPr="008354C2">
        <w:rPr>
          <w:rFonts w:ascii="Times New Roman" w:eastAsia="Times New Roman" w:hAnsi="Times New Roman" w:cs="Times New Roman"/>
          <w:b/>
          <w:bCs/>
          <w:sz w:val="28"/>
          <w:szCs w:val="28"/>
          <w:lang w:val="vi-VN"/>
        </w:rPr>
        <w:t xml:space="preserve"> </w:t>
      </w:r>
      <w:r w:rsidRPr="008354C2">
        <w:rPr>
          <w:rFonts w:ascii="Times New Roman" w:eastAsia="Times New Roman" w:hAnsi="Times New Roman" w:cs="Times New Roman"/>
          <w:sz w:val="28"/>
          <w:szCs w:val="28"/>
          <w:lang w:val="vi-VN"/>
        </w:rPr>
        <w:t>Bắt đầu từ 31 tuổi, tuổi mua BHSK thương mại càng lớn, phí bảo hiểm càng cao, nhưng nếu mua BHSK thương mại từ khi còn trẻ, sẽ duy trì phí bảo hiểm thấp.</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Cs/>
          <w:sz w:val="28"/>
          <w:szCs w:val="28"/>
          <w:lang w:val="vi-VN"/>
        </w:rPr>
        <w:t xml:space="preserve">- Minh bạch: </w:t>
      </w:r>
      <w:r w:rsidRPr="008354C2">
        <w:rPr>
          <w:rFonts w:ascii="Times New Roman" w:eastAsia="Times New Roman" w:hAnsi="Times New Roman" w:cs="Times New Roman"/>
          <w:b/>
          <w:bCs/>
          <w:sz w:val="28"/>
          <w:szCs w:val="28"/>
          <w:lang w:val="vi-VN"/>
        </w:rPr>
        <w:t xml:space="preserve"> </w:t>
      </w:r>
      <w:r w:rsidRPr="008354C2">
        <w:rPr>
          <w:rFonts w:ascii="Times New Roman" w:eastAsia="Times New Roman" w:hAnsi="Times New Roman" w:cs="Times New Roman"/>
          <w:sz w:val="28"/>
          <w:szCs w:val="28"/>
          <w:lang w:val="vi-VN"/>
        </w:rPr>
        <w:t>Các gói quyền lợi và hợp đồng phải báo cáo cho Chính phủ theo mẫu báo cáo chuẩn, và người dân có thể so sánh trực tuyến để có đủ thông tin trước khi quyết định mua.</w:t>
      </w:r>
    </w:p>
    <w:p w:rsidR="008B718D" w:rsidRPr="008354C2" w:rsidRDefault="008B718D" w:rsidP="008B718D">
      <w:pPr>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bCs/>
          <w:sz w:val="28"/>
          <w:szCs w:val="28"/>
          <w:lang w:val="vi-VN"/>
        </w:rPr>
        <w:t>- Quỹ BHSK thương mại được giám sát tài chính thận trọng:</w:t>
      </w:r>
      <w:r w:rsidRPr="008354C2">
        <w:rPr>
          <w:rFonts w:ascii="Times New Roman" w:eastAsia="Times New Roman" w:hAnsi="Times New Roman" w:cs="Times New Roman"/>
          <w:b/>
          <w:bCs/>
          <w:sz w:val="28"/>
          <w:szCs w:val="28"/>
          <w:lang w:val="vi-VN"/>
        </w:rPr>
        <w:t xml:space="preserve"> </w:t>
      </w:r>
      <w:r w:rsidRPr="008354C2">
        <w:rPr>
          <w:rFonts w:ascii="Times New Roman" w:eastAsia="Times New Roman" w:hAnsi="Times New Roman" w:cs="Times New Roman"/>
          <w:sz w:val="28"/>
          <w:szCs w:val="28"/>
          <w:lang w:val="vi-VN"/>
        </w:rPr>
        <w:t>Australian Prudential Regulation Authority (APRA) là một đơn vị độc lập của Chính phủ Úc. APRA bảo đảm giám sát tính bền vững và đầy đủ của quỹ BHSK thương mại.</w:t>
      </w:r>
    </w:p>
    <w:p w:rsidR="008B718D" w:rsidRPr="008354C2" w:rsidRDefault="00AF6E0D" w:rsidP="008B718D">
      <w:pPr>
        <w:keepNext/>
        <w:keepLines/>
        <w:spacing w:after="120"/>
        <w:outlineLvl w:val="1"/>
        <w:rPr>
          <w:rFonts w:ascii="Times New Roman" w:eastAsia="Times New Roman" w:hAnsi="Times New Roman" w:cs="Times New Roman"/>
          <w:b/>
          <w:sz w:val="28"/>
          <w:szCs w:val="28"/>
          <w:lang w:val="vi-VN"/>
        </w:rPr>
      </w:pPr>
      <w:bookmarkStart w:id="9" w:name="_Toc47448096"/>
      <w:r w:rsidRPr="008354C2">
        <w:rPr>
          <w:rFonts w:ascii="Times New Roman" w:eastAsia="Times New Roman" w:hAnsi="Times New Roman" w:cs="Times New Roman"/>
          <w:b/>
          <w:sz w:val="28"/>
          <w:szCs w:val="28"/>
          <w:lang w:val="vi-VN"/>
        </w:rPr>
        <w:t>5</w:t>
      </w:r>
      <w:r w:rsidR="008B718D" w:rsidRPr="008354C2">
        <w:rPr>
          <w:rFonts w:ascii="Times New Roman" w:eastAsia="Times New Roman" w:hAnsi="Times New Roman" w:cs="Times New Roman"/>
          <w:b/>
          <w:sz w:val="28"/>
          <w:szCs w:val="28"/>
          <w:lang w:val="vi-VN"/>
        </w:rPr>
        <w:t>.5. Mô hình BHSK thương mại ở một số quốc gia trên thế giới</w:t>
      </w:r>
      <w:bookmarkEnd w:id="9"/>
    </w:p>
    <w:p w:rsidR="008B718D" w:rsidRPr="008354C2" w:rsidRDefault="008B718D" w:rsidP="008B718D">
      <w:pPr>
        <w:snapToGrid w:val="0"/>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 xml:space="preserve">Qua nghiên cứu pháp luật BHSK thương mại ở một số nước phát triển trên thế giới, có thể thấy BHSK thương mại theo hình thức bổ sung có những đặc điểm như sau: (i) Việc tham gia do cá nhân tự quyết định; (ii) Mức phí của BHSK thương mại được xác định theo tình trạng sức khỏe cá nhân; (iii) Quỹ BHSK thương mại hoạt động có thể vì mục đích lợi nhuận hoặc phi lợi nhuận; (iv) Nguyên tắc tính phí thường được tính theo tình trạng sức khỏe cá nhận, khi bán BHSK thương mại cho người tham gia, tổ chức bảo hiểm (DNBH) có thể từ chối các cá nhân có nguy cơ ốm đau cao. Các yếu tố được đưa vào làm cơ sở tính toán khi xây dựng phí bảo hiểm thường bao gồm tuổi, giới tính, nghề nghiệp, số người trong gia đình, tình trạng sức khỏe, tiểu sử bệnh, mức quyền lợi được hưởng. </w:t>
      </w:r>
    </w:p>
    <w:p w:rsidR="008B718D" w:rsidRPr="008354C2" w:rsidRDefault="008B718D" w:rsidP="008B718D">
      <w:pPr>
        <w:snapToGrid w:val="0"/>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BHSK thương mại có thể chia thành loại hai loại : BHSK bổ sung cho BHYT cơ bản và BHSK nâng cao quyền lợi. Hình thức thực hiện và mức độ quyền lợi bổ sung cũng khác nhau giữa các nước. Nhìn chung, BHSK thương mại tại các nước phát triển có nhưng ưu điểm, hạn chế sau đây:</w:t>
      </w:r>
    </w:p>
    <w:p w:rsidR="008B718D" w:rsidRPr="008354C2" w:rsidRDefault="008B718D" w:rsidP="008B718D">
      <w:pPr>
        <w:snapToGrid w:val="0"/>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i/>
          <w:sz w:val="28"/>
          <w:szCs w:val="28"/>
          <w:lang w:val="vi-VN"/>
        </w:rPr>
        <w:t>Ưu điểm:</w:t>
      </w:r>
      <w:r w:rsidRPr="008354C2">
        <w:rPr>
          <w:rFonts w:ascii="Times New Roman" w:eastAsia="Times New Roman" w:hAnsi="Times New Roman" w:cs="Times New Roman"/>
          <w:sz w:val="28"/>
          <w:szCs w:val="28"/>
          <w:lang w:val="vi-VN"/>
        </w:rPr>
        <w:t xml:space="preserve"> (i) BHSK thương mại bổ sung tăng thêm sự lựa chọn cho người sử dụng BHYT trong xã hội ; (ii) BHSK thương mại bổ sung có thể đáp ứng nhu cầu của một số đối tượng giàu có trong xã hội, đồng thời giúp Chính phủ có thể tập trung nguồn lực để phục vụ cho các đối tượng khác trong xã hội như người cao tuổi, người nghèo, v.v…; (iii) BHSK thương mại bổ sung giúp huy động thêm nguồn lực kinh tế để phát triển hạ tầng y tế, mang lại lợi ích cho tất cả các đối tượng người dân trong xã hội; (iv) BHSK thương mại góp phần khuyến khích đổi mới, thúc đẩy cải cách BHYT ở khu vực công bởi tính năng động và động cơ lợi nhuận của nó.</w:t>
      </w:r>
    </w:p>
    <w:p w:rsidR="008B718D" w:rsidRPr="008354C2" w:rsidRDefault="008B718D" w:rsidP="008B718D">
      <w:pPr>
        <w:snapToGrid w:val="0"/>
        <w:spacing w:after="120"/>
        <w:jc w:val="both"/>
        <w:rPr>
          <w:rFonts w:ascii="Times New Roman" w:eastAsia="Times New Roman" w:hAnsi="Times New Roman" w:cs="Times New Roman"/>
          <w:sz w:val="28"/>
          <w:szCs w:val="28"/>
          <w:lang w:val="vi-VN"/>
        </w:rPr>
      </w:pPr>
      <w:r w:rsidRPr="008354C2">
        <w:rPr>
          <w:rFonts w:ascii="Times New Roman" w:eastAsia="Times New Roman" w:hAnsi="Times New Roman" w:cs="Times New Roman"/>
          <w:i/>
          <w:sz w:val="28"/>
          <w:szCs w:val="28"/>
          <w:lang w:val="vi-VN"/>
        </w:rPr>
        <w:t xml:space="preserve">Hạn chế: </w:t>
      </w:r>
      <w:r w:rsidRPr="008354C2">
        <w:rPr>
          <w:rFonts w:ascii="Times New Roman" w:eastAsia="Times New Roman" w:hAnsi="Times New Roman" w:cs="Times New Roman"/>
          <w:sz w:val="28"/>
          <w:szCs w:val="28"/>
          <w:lang w:val="vi-VN"/>
        </w:rPr>
        <w:t>(i) BHSK thương mại tạo điều kiện cho các nhà bảo hiểm lựa chọn những nhóm dân cư khỏe mạnh, đẩy gánh nặng chi phí y tế của nhóm người già, người nghèo sang bên Nhà nước; (ii) Việc áp dụng hình thức BHSK thương mại tạo ra sự không công bằng giữa các nhóm dân cư trong xã hội về khả năng tiếp cận dịch vụ chăm sóc sức khỏe, tạo ra sự phân biệt trong tiếp cận dịch vụ y tế giữa nhóm người giàu và các nhóm khác, đặc biệt là người nghèo trong xã hội.</w:t>
      </w:r>
    </w:p>
    <w:p w:rsidR="008B718D" w:rsidRPr="008354C2" w:rsidRDefault="008B718D" w:rsidP="008B718D">
      <w:pPr>
        <w:snapToGrid w:val="0"/>
        <w:spacing w:after="120"/>
        <w:jc w:val="both"/>
        <w:rPr>
          <w:rFonts w:ascii="Times New Roman" w:eastAsia="Times New Roman" w:hAnsi="Times New Roman" w:cs="Times New Roman"/>
          <w:i/>
          <w:sz w:val="28"/>
          <w:szCs w:val="28"/>
          <w:lang w:val="vi-VN"/>
        </w:rPr>
      </w:pPr>
      <w:r w:rsidRPr="008354C2">
        <w:rPr>
          <w:rFonts w:ascii="Times New Roman" w:eastAsia="Times New Roman" w:hAnsi="Times New Roman" w:cs="Times New Roman"/>
          <w:sz w:val="28"/>
          <w:szCs w:val="28"/>
          <w:lang w:val="vi-VN"/>
        </w:rPr>
        <w:t>Mô hình BHSK thương mại ở mỗi quốc gia khác nhau, có những quốc gia BHSK có cả 3 vai trò (thay thế, đồng chi trả, chi trả bổ sung) như Philippines, Isarel, có những quốc gia BHSK thương mại chỉ đóng 1 trong 3 vai trò như Canada (vai trò chi trả bổ sung) hay Pháp (vai trò đồng chi trả). Sau đây là bảng tóm tắt các loại mô hình BSHK thương mại ở một số quốc gia trên thế giới theo thống kê của OECD (</w:t>
      </w:r>
      <w:r w:rsidRPr="008354C2">
        <w:rPr>
          <w:rFonts w:ascii="Times New Roman" w:eastAsia="Times New Roman" w:hAnsi="Times New Roman" w:cs="Times New Roman"/>
          <w:i/>
          <w:iCs/>
          <w:sz w:val="28"/>
          <w:szCs w:val="28"/>
          <w:lang w:val="vi-VN"/>
        </w:rPr>
        <w:t xml:space="preserve">Nguồn: Private </w:t>
      </w:r>
      <w:r w:rsidRPr="008354C2">
        <w:rPr>
          <w:rFonts w:ascii="Times New Roman" w:eastAsia="Times New Roman" w:hAnsi="Times New Roman" w:cs="Times New Roman"/>
          <w:i/>
          <w:iCs/>
          <w:spacing w:val="-6"/>
          <w:sz w:val="28"/>
          <w:szCs w:val="28"/>
          <w:lang w:val="vi-VN"/>
        </w:rPr>
        <w:t xml:space="preserve">health insurance. </w:t>
      </w:r>
      <w:r w:rsidRPr="008354C2">
        <w:rPr>
          <w:rFonts w:ascii="Times New Roman" w:eastAsia="Times New Roman" w:hAnsi="Times New Roman" w:cs="Times New Roman"/>
          <w:i/>
          <w:iCs/>
          <w:spacing w:val="-6"/>
          <w:sz w:val="28"/>
          <w:szCs w:val="28"/>
        </w:rPr>
        <w:t>OECD Health Statistics 2018</w:t>
      </w:r>
      <w:r w:rsidRPr="008354C2">
        <w:rPr>
          <w:rFonts w:ascii="Times New Roman" w:eastAsia="Times New Roman" w:hAnsi="Times New Roman" w:cs="Times New Roman"/>
          <w:i/>
          <w:spacing w:val="-6"/>
          <w:sz w:val="28"/>
          <w:szCs w:val="28"/>
          <w:lang w:val="vi-VN"/>
        </w:rPr>
        <w:t xml:space="preserve"> </w:t>
      </w:r>
      <w:r w:rsidRPr="008354C2">
        <w:rPr>
          <w:rFonts w:ascii="Times New Roman" w:eastAsia="Times New Roman" w:hAnsi="Times New Roman" w:cs="Times New Roman"/>
          <w:i/>
          <w:spacing w:val="-6"/>
          <w:sz w:val="28"/>
          <w:szCs w:val="28"/>
        </w:rPr>
        <w:t>Definitions, Sources and</w:t>
      </w:r>
      <w:r w:rsidRPr="008354C2">
        <w:rPr>
          <w:rFonts w:ascii="Times New Roman" w:eastAsia="Times New Roman" w:hAnsi="Times New Roman" w:cs="Times New Roman"/>
          <w:i/>
          <w:sz w:val="28"/>
          <w:szCs w:val="28"/>
        </w:rPr>
        <w:t xml:space="preserve"> Methods</w:t>
      </w:r>
      <w:r w:rsidRPr="008354C2">
        <w:rPr>
          <w:rFonts w:ascii="Times New Roman" w:eastAsia="Times New Roman" w:hAnsi="Times New Roman" w:cs="Times New Roman"/>
          <w:i/>
          <w:sz w:val="28"/>
          <w:szCs w:val="28"/>
          <w:lang w:val="vi-VN"/>
        </w:rPr>
        <w:t>).</w:t>
      </w:r>
    </w:p>
    <w:tbl>
      <w:tblPr>
        <w:tblW w:w="5000" w:type="pct"/>
        <w:jc w:val="center"/>
        <w:tblLook w:val="0600"/>
      </w:tblPr>
      <w:tblGrid>
        <w:gridCol w:w="868"/>
        <w:gridCol w:w="2617"/>
        <w:gridCol w:w="2034"/>
        <w:gridCol w:w="1891"/>
        <w:gridCol w:w="1876"/>
      </w:tblGrid>
      <w:tr w:rsidR="008B718D" w:rsidRPr="008354C2" w:rsidTr="00D203FF">
        <w:trPr>
          <w:trHeight w:val="340"/>
          <w:jc w:val="center"/>
        </w:trPr>
        <w:tc>
          <w:tcPr>
            <w:tcW w:w="468" w:type="pct"/>
            <w:tcBorders>
              <w:top w:val="single" w:sz="4" w:space="0" w:color="000000"/>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b/>
                <w:bCs/>
                <w:sz w:val="28"/>
                <w:szCs w:val="28"/>
                <w:lang w:val="vi-VN"/>
              </w:rPr>
            </w:pPr>
            <w:r w:rsidRPr="008354C2">
              <w:rPr>
                <w:rFonts w:ascii="Times New Roman" w:eastAsia="Times New Roman" w:hAnsi="Times New Roman" w:cs="Times New Roman"/>
                <w:b/>
                <w:bCs/>
                <w:sz w:val="28"/>
                <w:szCs w:val="28"/>
                <w:lang w:val="vi-VN"/>
              </w:rPr>
              <w:t>STT</w:t>
            </w:r>
          </w:p>
        </w:tc>
        <w:tc>
          <w:tcPr>
            <w:tcW w:w="1409" w:type="pct"/>
            <w:tcBorders>
              <w:top w:val="single" w:sz="4" w:space="0" w:color="000000"/>
              <w:left w:val="single" w:sz="4" w:space="0" w:color="000000"/>
              <w:bottom w:val="single" w:sz="4" w:space="0" w:color="000000"/>
              <w:right w:val="single" w:sz="4" w:space="0" w:color="000000"/>
            </w:tcBorders>
            <w:shd w:val="clear" w:color="auto" w:fill="C4D8ED"/>
            <w:vAlign w:val="bottom"/>
            <w:hideMark/>
          </w:tcPr>
          <w:p w:rsidR="008B718D" w:rsidRPr="008354C2" w:rsidRDefault="008B718D" w:rsidP="008B718D">
            <w:pPr>
              <w:spacing w:after="0"/>
              <w:rPr>
                <w:rFonts w:ascii="Times New Roman" w:eastAsia="Times New Roman" w:hAnsi="Times New Roman" w:cs="Times New Roman"/>
                <w:b/>
                <w:bCs/>
                <w:sz w:val="28"/>
                <w:szCs w:val="28"/>
              </w:rPr>
            </w:pPr>
            <w:r w:rsidRPr="008354C2">
              <w:rPr>
                <w:rFonts w:ascii="Times New Roman" w:eastAsia="Times New Roman" w:hAnsi="Times New Roman" w:cs="Times New Roman"/>
                <w:b/>
                <w:bCs/>
                <w:sz w:val="28"/>
                <w:szCs w:val="28"/>
              </w:rPr>
              <w:t>Quốc gia</w:t>
            </w:r>
          </w:p>
        </w:tc>
        <w:tc>
          <w:tcPr>
            <w:tcW w:w="3123" w:type="pct"/>
            <w:gridSpan w:val="3"/>
            <w:tcBorders>
              <w:top w:val="single" w:sz="4" w:space="0" w:color="000000"/>
              <w:left w:val="nil"/>
              <w:bottom w:val="single" w:sz="4" w:space="0" w:color="000000"/>
              <w:right w:val="single" w:sz="4" w:space="0" w:color="000000"/>
            </w:tcBorders>
            <w:shd w:val="clear" w:color="auto" w:fill="00B0F0"/>
            <w:vAlign w:val="bottom"/>
            <w:hideMark/>
          </w:tcPr>
          <w:p w:rsidR="008B718D" w:rsidRPr="008354C2" w:rsidRDefault="008B718D" w:rsidP="008B718D">
            <w:pPr>
              <w:spacing w:after="0"/>
              <w:jc w:val="center"/>
              <w:rPr>
                <w:rFonts w:ascii="Times New Roman" w:eastAsia="Times New Roman" w:hAnsi="Times New Roman" w:cs="Times New Roman"/>
                <w:b/>
                <w:sz w:val="28"/>
                <w:szCs w:val="28"/>
              </w:rPr>
            </w:pPr>
            <w:r w:rsidRPr="008354C2">
              <w:rPr>
                <w:rFonts w:ascii="Times New Roman" w:eastAsia="Times New Roman" w:hAnsi="Times New Roman" w:cs="Times New Roman"/>
                <w:b/>
                <w:sz w:val="28"/>
                <w:szCs w:val="28"/>
              </w:rPr>
              <w:t>Loại mô hình BHSK thương mại</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Australia</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shd w:val="clear" w:color="auto" w:fill="FF9900"/>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rPr>
              <w:t>Thay thế</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Austria</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3</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Belgium</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4</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Canada</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5</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Chile</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shd w:val="clear" w:color="auto" w:fill="C65911"/>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Cơ bản</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6</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Czech Republic</w:t>
            </w:r>
          </w:p>
        </w:tc>
        <w:tc>
          <w:tcPr>
            <w:tcW w:w="1095" w:type="pct"/>
            <w:tcBorders>
              <w:top w:val="nil"/>
              <w:left w:val="nil"/>
              <w:bottom w:val="single" w:sz="4" w:space="0" w:color="000000"/>
              <w:right w:val="single" w:sz="4" w:space="0" w:color="000000"/>
            </w:tcBorders>
            <w:shd w:val="clear" w:color="auto" w:fill="7E9632"/>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7</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Denmark</w:t>
            </w:r>
          </w:p>
        </w:tc>
        <w:tc>
          <w:tcPr>
            <w:tcW w:w="1095" w:type="pct"/>
            <w:tcBorders>
              <w:top w:val="nil"/>
              <w:left w:val="nil"/>
              <w:bottom w:val="single" w:sz="4" w:space="0" w:color="000000"/>
              <w:right w:val="single" w:sz="4" w:space="0" w:color="000000"/>
            </w:tcBorders>
            <w:shd w:val="clear" w:color="auto" w:fill="7E9632"/>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shd w:val="clear" w:color="auto" w:fill="FFFF2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8</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Estonia</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shd w:val="clear" w:color="auto" w:fill="FFFF2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shd w:val="clear" w:color="auto" w:fill="C65911"/>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Cơ bản</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9</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Finland</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10</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France</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11</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Germany</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shd w:val="clear" w:color="auto" w:fill="C65911"/>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Cơ bản</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12</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Greece</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shd w:val="clear" w:color="auto" w:fill="FF9900"/>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rPr>
              <w:t>Thay thế</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13</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Hungary</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14</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Ireland</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shd w:val="clear" w:color="auto" w:fill="FF9900"/>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rPr>
              <w:t>Thay thế</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15</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Israel</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shd w:val="clear" w:color="auto" w:fill="FF9900"/>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rPr>
              <w:t>Thay thế</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16</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Japan</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shd w:val="clear" w:color="auto" w:fill="FFFF2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17</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Korea</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shd w:val="clear" w:color="auto" w:fill="FFFF2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18</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Mexico</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shd w:val="clear" w:color="auto" w:fill="FF9900"/>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rPr>
              <w:t>Thay thế</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19</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Netherlands</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20</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New Zealand</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shd w:val="clear" w:color="auto" w:fill="FF9900"/>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rPr>
              <w:t>Thay thế</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21</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Norway</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shd w:val="clear" w:color="auto" w:fill="FF9900"/>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rPr>
              <w:t>Thay thế</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22</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Slovenia</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23</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Spain</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shd w:val="clear" w:color="auto" w:fill="C65911"/>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Cơ bản</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24</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Switzerland</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25</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Turkey</w:t>
            </w:r>
          </w:p>
        </w:tc>
        <w:tc>
          <w:tcPr>
            <w:tcW w:w="1095" w:type="pct"/>
            <w:tcBorders>
              <w:top w:val="nil"/>
              <w:left w:val="nil"/>
              <w:bottom w:val="single" w:sz="4" w:space="0" w:color="000000"/>
              <w:right w:val="single" w:sz="4" w:space="0" w:color="000000"/>
            </w:tcBorders>
            <w:shd w:val="clear" w:color="auto" w:fill="7E9632"/>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Chi trả bổ sung</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26</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United Kingdom</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0" w:type="pct"/>
            <w:tcBorders>
              <w:top w:val="nil"/>
              <w:left w:val="nil"/>
              <w:bottom w:val="single" w:sz="4" w:space="0" w:color="000000"/>
              <w:right w:val="single" w:sz="4" w:space="0" w:color="000000"/>
            </w:tcBorders>
            <w:shd w:val="clear" w:color="auto" w:fill="FF9900"/>
            <w:vAlign w:val="bottom"/>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rPr>
              <w:t>Thay thế</w:t>
            </w:r>
          </w:p>
        </w:tc>
      </w:tr>
      <w:tr w:rsidR="008B718D" w:rsidRPr="008354C2" w:rsidTr="00D203FF">
        <w:trPr>
          <w:trHeight w:val="340"/>
          <w:jc w:val="center"/>
        </w:trPr>
        <w:tc>
          <w:tcPr>
            <w:tcW w:w="468"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lang w:val="vi-VN"/>
              </w:rPr>
            </w:pPr>
            <w:r w:rsidRPr="008354C2">
              <w:rPr>
                <w:rFonts w:ascii="Times New Roman" w:eastAsia="Times New Roman" w:hAnsi="Times New Roman" w:cs="Times New Roman"/>
                <w:sz w:val="28"/>
                <w:szCs w:val="28"/>
                <w:lang w:val="vi-VN"/>
              </w:rPr>
              <w:t>27</w:t>
            </w:r>
          </w:p>
        </w:tc>
        <w:tc>
          <w:tcPr>
            <w:tcW w:w="1409" w:type="pct"/>
            <w:tcBorders>
              <w:top w:val="nil"/>
              <w:left w:val="single" w:sz="4" w:space="0" w:color="000000"/>
              <w:bottom w:val="single" w:sz="4" w:space="0" w:color="000000"/>
              <w:right w:val="single" w:sz="4" w:space="0" w:color="000000"/>
            </w:tcBorders>
            <w:shd w:val="clear" w:color="auto" w:fill="C4D8ED"/>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United States</w:t>
            </w:r>
          </w:p>
        </w:tc>
        <w:tc>
          <w:tcPr>
            <w:tcW w:w="1095" w:type="pct"/>
            <w:tcBorders>
              <w:top w:val="nil"/>
              <w:left w:val="nil"/>
              <w:bottom w:val="single" w:sz="4" w:space="0" w:color="000000"/>
              <w:right w:val="single" w:sz="4" w:space="0" w:color="000000"/>
            </w:tcBorders>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 </w:t>
            </w:r>
          </w:p>
        </w:tc>
        <w:tc>
          <w:tcPr>
            <w:tcW w:w="1018" w:type="pct"/>
            <w:tcBorders>
              <w:top w:val="nil"/>
              <w:left w:val="nil"/>
              <w:bottom w:val="single" w:sz="4" w:space="0" w:color="000000"/>
              <w:right w:val="single" w:sz="4" w:space="0" w:color="000000"/>
            </w:tcBorders>
            <w:shd w:val="clear" w:color="auto" w:fill="FFFF2D"/>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lang w:val="vi-VN"/>
              </w:rPr>
              <w:t>Đồng chi trả</w:t>
            </w:r>
          </w:p>
        </w:tc>
        <w:tc>
          <w:tcPr>
            <w:tcW w:w="1010" w:type="pct"/>
            <w:tcBorders>
              <w:top w:val="nil"/>
              <w:left w:val="nil"/>
              <w:bottom w:val="single" w:sz="4" w:space="0" w:color="000000"/>
              <w:right w:val="single" w:sz="4" w:space="0" w:color="000000"/>
            </w:tcBorders>
            <w:shd w:val="clear" w:color="auto" w:fill="C65911"/>
            <w:vAlign w:val="bottom"/>
            <w:hideMark/>
          </w:tcPr>
          <w:p w:rsidR="008B718D" w:rsidRPr="008354C2" w:rsidRDefault="008B718D" w:rsidP="008B718D">
            <w:pPr>
              <w:spacing w:after="0"/>
              <w:rPr>
                <w:rFonts w:ascii="Times New Roman" w:eastAsia="Times New Roman" w:hAnsi="Times New Roman" w:cs="Times New Roman"/>
                <w:sz w:val="28"/>
                <w:szCs w:val="28"/>
              </w:rPr>
            </w:pPr>
            <w:r w:rsidRPr="008354C2">
              <w:rPr>
                <w:rFonts w:ascii="Times New Roman" w:eastAsia="Times New Roman" w:hAnsi="Times New Roman" w:cs="Times New Roman"/>
                <w:sz w:val="28"/>
                <w:szCs w:val="28"/>
              </w:rPr>
              <w:t>Cơ bản</w:t>
            </w:r>
          </w:p>
        </w:tc>
      </w:tr>
    </w:tbl>
    <w:p w:rsidR="008B718D" w:rsidRPr="008354C2" w:rsidRDefault="008B718D" w:rsidP="008B718D">
      <w:pPr>
        <w:snapToGrid w:val="0"/>
        <w:spacing w:before="120" w:after="120" w:line="360" w:lineRule="auto"/>
        <w:ind w:firstLine="360"/>
        <w:jc w:val="both"/>
        <w:textAlignment w:val="baseline"/>
        <w:rPr>
          <w:rFonts w:ascii="Times New Roman" w:eastAsia="Times New Roman" w:hAnsi="Times New Roman" w:cs="Times New Roman"/>
          <w:sz w:val="28"/>
          <w:szCs w:val="28"/>
        </w:rPr>
      </w:pPr>
    </w:p>
    <w:p w:rsidR="008B718D" w:rsidRPr="008354C2" w:rsidRDefault="008B718D" w:rsidP="008B718D">
      <w:pPr>
        <w:spacing w:before="120" w:after="120" w:line="360" w:lineRule="auto"/>
        <w:ind w:firstLine="720"/>
        <w:jc w:val="both"/>
        <w:rPr>
          <w:rFonts w:ascii="Times New Roman" w:eastAsia="Times New Roman" w:hAnsi="Times New Roman" w:cs="Times New Roman"/>
          <w:sz w:val="28"/>
          <w:szCs w:val="28"/>
          <w:lang w:val="vi-VN"/>
        </w:rPr>
      </w:pPr>
    </w:p>
    <w:p w:rsidR="006A18D8" w:rsidRPr="008354C2" w:rsidRDefault="006A18D8" w:rsidP="001C16F2">
      <w:pPr>
        <w:tabs>
          <w:tab w:val="left" w:pos="993"/>
          <w:tab w:val="left" w:pos="1276"/>
        </w:tabs>
        <w:spacing w:before="120" w:after="120"/>
        <w:jc w:val="both"/>
        <w:rPr>
          <w:rFonts w:ascii="Times New Roman" w:eastAsia="Arial" w:hAnsi="Times New Roman" w:cs="Times New Roman"/>
          <w:spacing w:val="2"/>
          <w:sz w:val="28"/>
          <w:szCs w:val="28"/>
        </w:rPr>
      </w:pPr>
    </w:p>
    <w:p w:rsidR="00705032" w:rsidRPr="008354C2" w:rsidRDefault="00705032" w:rsidP="001C16F2">
      <w:pPr>
        <w:spacing w:before="120" w:after="120"/>
        <w:jc w:val="both"/>
        <w:rPr>
          <w:rFonts w:ascii="Times New Roman" w:eastAsia="Calibri" w:hAnsi="Times New Roman" w:cs="Times New Roman"/>
          <w:sz w:val="28"/>
          <w:szCs w:val="28"/>
          <w:lang w:val="fr-FR"/>
        </w:rPr>
      </w:pPr>
    </w:p>
    <w:p w:rsidR="008D42EC" w:rsidRPr="008354C2" w:rsidRDefault="008D42EC" w:rsidP="00411CD3">
      <w:pPr>
        <w:spacing w:after="120"/>
        <w:jc w:val="both"/>
        <w:rPr>
          <w:rFonts w:ascii="Times New Roman" w:hAnsi="Times New Roman" w:cs="Times New Roman"/>
          <w:sz w:val="28"/>
        </w:rPr>
      </w:pPr>
    </w:p>
    <w:sectPr w:rsidR="008D42EC" w:rsidRPr="008354C2" w:rsidSect="00E02BF1">
      <w:footerReference w:type="default" r:id="rId12"/>
      <w:pgSz w:w="11907" w:h="16839" w:code="9"/>
      <w:pgMar w:top="1138" w:right="1138" w:bottom="1138" w:left="1699"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600" w:rsidRDefault="005F2600" w:rsidP="008A0330">
      <w:pPr>
        <w:spacing w:after="0" w:line="240" w:lineRule="auto"/>
      </w:pPr>
      <w:r>
        <w:separator/>
      </w:r>
    </w:p>
  </w:endnote>
  <w:endnote w:type="continuationSeparator" w:id="0">
    <w:p w:rsidR="005F2600" w:rsidRDefault="005F2600" w:rsidP="008A03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Franklin Gothic Medium Cond">
    <w:charset w:val="00"/>
    <w:family w:val="swiss"/>
    <w:pitch w:val="variable"/>
    <w:sig w:usb0="00000287" w:usb1="00000000" w:usb2="00000000" w:usb3="00000000" w:csb0="0000009F" w:csb1="00000000"/>
  </w:font>
  <w:font w:name="한양신명조">
    <w:altName w:val="Times New Roman"/>
    <w:charset w:val="00"/>
    <w:family w:val="roman"/>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YHeadLine-Medium">
    <w:panose1 w:val="00000000000000000000"/>
    <w:charset w:val="81"/>
    <w:family w:val="roman"/>
    <w:notTrueType/>
    <w:pitch w:val="default"/>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 w:name="Times New Roman (Headings CS)">
    <w:charset w:val="00"/>
    <w:family w:val="roman"/>
    <w:pitch w:val="variable"/>
    <w:sig w:usb0="E0002AEF" w:usb1="C0007841" w:usb2="00000009" w:usb3="00000000" w:csb0="000001FF" w:csb1="00000000"/>
  </w:font>
  <w:font w:name="Times New Roman (Body CS)">
    <w:charset w:val="00"/>
    <w:family w:val="roman"/>
    <w:pitch w:val="variable"/>
    <w:sig w:usb0="E0002AE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600" w:rsidRDefault="005F2600">
    <w:pPr>
      <w:pStyle w:val="Footer"/>
      <w:jc w:val="center"/>
    </w:pPr>
  </w:p>
  <w:p w:rsidR="005F2600" w:rsidRDefault="005F26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3661846"/>
      <w:docPartObj>
        <w:docPartGallery w:val="Page Numbers (Bottom of Page)"/>
        <w:docPartUnique/>
      </w:docPartObj>
    </w:sdtPr>
    <w:sdtEndPr>
      <w:rPr>
        <w:noProof/>
      </w:rPr>
    </w:sdtEndPr>
    <w:sdtContent>
      <w:p w:rsidR="005F2600" w:rsidRDefault="005F2600">
        <w:pPr>
          <w:pStyle w:val="Footer"/>
          <w:jc w:val="center"/>
        </w:pPr>
        <w:fldSimple w:instr=" PAGE   \* MERGEFORMAT ">
          <w:r w:rsidR="000C3C30">
            <w:rPr>
              <w:noProof/>
            </w:rPr>
            <w:t>236</w:t>
          </w:r>
        </w:fldSimple>
      </w:p>
    </w:sdtContent>
  </w:sdt>
  <w:p w:rsidR="005F2600" w:rsidRDefault="005F26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600" w:rsidRDefault="005F2600" w:rsidP="008A0330">
      <w:pPr>
        <w:spacing w:after="0" w:line="240" w:lineRule="auto"/>
      </w:pPr>
      <w:r>
        <w:separator/>
      </w:r>
    </w:p>
  </w:footnote>
  <w:footnote w:type="continuationSeparator" w:id="0">
    <w:p w:rsidR="005F2600" w:rsidRDefault="005F2600" w:rsidP="008A0330">
      <w:pPr>
        <w:spacing w:after="0" w:line="240" w:lineRule="auto"/>
      </w:pPr>
      <w:r>
        <w:continuationSeparator/>
      </w:r>
    </w:p>
  </w:footnote>
  <w:footnote w:id="1">
    <w:p w:rsidR="005F2600" w:rsidRPr="00085398" w:rsidRDefault="005F2600" w:rsidP="003736DB">
      <w:pPr>
        <w:autoSpaceDE w:val="0"/>
        <w:autoSpaceDN w:val="0"/>
        <w:adjustRightInd w:val="0"/>
        <w:spacing w:after="0" w:line="240" w:lineRule="auto"/>
        <w:jc w:val="both"/>
        <w:rPr>
          <w:rFonts w:ascii="Times New Roman" w:hAnsi="Times New Roman" w:cs="Times New Roman"/>
          <w:color w:val="000000"/>
        </w:rPr>
      </w:pPr>
      <w:r w:rsidRPr="00085398">
        <w:rPr>
          <w:rStyle w:val="FootnoteReference"/>
          <w:rFonts w:ascii="Times New Roman" w:hAnsi="Times New Roman" w:cs="Times New Roman"/>
        </w:rPr>
        <w:footnoteRef/>
      </w:r>
      <w:r w:rsidRPr="00085398">
        <w:rPr>
          <w:rFonts w:ascii="Times New Roman" w:hAnsi="Times New Roman" w:cs="Times New Roman"/>
        </w:rPr>
        <w:t xml:space="preserve"> </w:t>
      </w:r>
      <w:r w:rsidRPr="00085398">
        <w:rPr>
          <w:rFonts w:ascii="Times New Roman" w:hAnsi="Times New Roman" w:cs="Times New Roman"/>
          <w:color w:val="000000"/>
        </w:rPr>
        <w:t>Báo cáo khảo sát về quản trị DNBH, IAIS, OCD và WB, 3/2009, Tài liệu công khai trên  IAIS website (www.iaisweb.org) và OECD website (www.oecd.org/daf/insurance/governance).</w:t>
      </w:r>
    </w:p>
  </w:footnote>
  <w:footnote w:id="2">
    <w:p w:rsidR="005F2600" w:rsidRPr="00085398" w:rsidRDefault="005F2600" w:rsidP="003736DB">
      <w:pPr>
        <w:pStyle w:val="FootnoteText"/>
        <w:jc w:val="both"/>
        <w:rPr>
          <w:rFonts w:ascii="Times New Roman" w:hAnsi="Times New Roman" w:cs="Times New Roman"/>
          <w:color w:val="000000"/>
          <w:sz w:val="22"/>
          <w:szCs w:val="22"/>
        </w:rPr>
      </w:pPr>
      <w:r w:rsidRPr="00085398">
        <w:rPr>
          <w:rFonts w:ascii="Times New Roman" w:hAnsi="Times New Roman" w:cs="Times New Roman"/>
          <w:color w:val="000000"/>
          <w:sz w:val="22"/>
          <w:szCs w:val="22"/>
        </w:rPr>
        <w:footnoteRef/>
      </w:r>
      <w:r w:rsidRPr="00085398">
        <w:rPr>
          <w:rFonts w:ascii="Times New Roman" w:hAnsi="Times New Roman" w:cs="Times New Roman"/>
          <w:color w:val="000000"/>
          <w:sz w:val="22"/>
          <w:szCs w:val="22"/>
        </w:rPr>
        <w:t xml:space="preserve"> ICP5 – Tiêu chuẩn, điều kiện của các chức danh tại DNBH; ICP 7 – Quản trị doanh nghiệp; ICP 8 – Quản lý rủi ro và Kiểm soát nội bộ.</w:t>
      </w:r>
    </w:p>
  </w:footnote>
  <w:footnote w:id="3">
    <w:p w:rsidR="005F2600" w:rsidRPr="00F23F03" w:rsidRDefault="005F2600" w:rsidP="003736DB">
      <w:pPr>
        <w:pStyle w:val="FootnoteText"/>
        <w:jc w:val="both"/>
        <w:rPr>
          <w:rFonts w:ascii="Times New Roman" w:hAnsi="Times New Roman"/>
          <w:color w:val="000000"/>
          <w:sz w:val="22"/>
          <w:szCs w:val="22"/>
        </w:rPr>
      </w:pPr>
      <w:r>
        <w:rPr>
          <w:rStyle w:val="FootnoteReference"/>
        </w:rPr>
        <w:footnoteRef/>
      </w:r>
      <w:r>
        <w:t xml:space="preserve"> </w:t>
      </w:r>
      <w:r w:rsidRPr="00F23F03">
        <w:rPr>
          <w:rFonts w:ascii="Times New Roman" w:hAnsi="Times New Roman"/>
          <w:color w:val="000000"/>
          <w:sz w:val="22"/>
          <w:szCs w:val="22"/>
        </w:rPr>
        <w:t>ICP 7 – Quản trị doanh nghiệp; ICP 8 – Quản lý rủi ro và Kiểm soát nội bộ.</w:t>
      </w:r>
    </w:p>
    <w:p w:rsidR="005F2600" w:rsidRDefault="005F2600" w:rsidP="003736DB">
      <w:pPr>
        <w:pStyle w:val="FootnoteText"/>
      </w:pPr>
    </w:p>
  </w:footnote>
  <w:footnote w:id="4">
    <w:p w:rsidR="005F2600" w:rsidRPr="00F034A9" w:rsidRDefault="005F2600" w:rsidP="00D142A9">
      <w:pPr>
        <w:pStyle w:val="FootnoteText"/>
      </w:pPr>
      <w:r>
        <w:rPr>
          <w:rStyle w:val="FootnoteReference"/>
        </w:rPr>
        <w:footnoteRef/>
      </w:r>
      <w:r>
        <w:t xml:space="preserve"> </w:t>
      </w:r>
      <w:r w:rsidRPr="00F034A9">
        <w:rPr>
          <w:rFonts w:ascii="Times New Roman" w:hAnsi="Times New Roman" w:cs="Times New Roman"/>
        </w:rPr>
        <w:t>Được sửa đổi theo Luật số 8863 ngày 29 tháng 2 năm 2008</w:t>
      </w:r>
    </w:p>
  </w:footnote>
  <w:footnote w:id="5">
    <w:p w:rsidR="005F2600" w:rsidRPr="00A1688B" w:rsidRDefault="005F2600" w:rsidP="00927D7B">
      <w:pPr>
        <w:pStyle w:val="FootnoteText"/>
        <w:rPr>
          <w:rFonts w:asciiTheme="majorHAnsi" w:hAnsiTheme="majorHAnsi" w:cstheme="majorHAnsi"/>
        </w:rPr>
      </w:pPr>
      <w:r w:rsidRPr="00A1688B">
        <w:rPr>
          <w:rStyle w:val="FootnoteReference"/>
          <w:rFonts w:asciiTheme="majorHAnsi" w:hAnsiTheme="majorHAnsi" w:cstheme="majorHAnsi"/>
        </w:rPr>
        <w:footnoteRef/>
      </w:r>
      <w:r w:rsidRPr="00A1688B">
        <w:rPr>
          <w:rFonts w:asciiTheme="majorHAnsi" w:hAnsiTheme="majorHAnsi" w:cstheme="majorHAnsi"/>
        </w:rPr>
        <w:t xml:space="preserve"> https://law.justia.com/codes/new-york/2015/isc/article-11/1101/</w:t>
      </w:r>
    </w:p>
  </w:footnote>
  <w:footnote w:id="6">
    <w:p w:rsidR="005F2600" w:rsidRPr="002118B4" w:rsidRDefault="005F2600" w:rsidP="00D4333F">
      <w:pPr>
        <w:pStyle w:val="FootnoteText"/>
        <w:spacing w:line="276" w:lineRule="auto"/>
        <w:jc w:val="both"/>
        <w:rPr>
          <w:rFonts w:ascii="Times New Roman" w:hAnsi="Times New Roman" w:cs="Times New Roman"/>
          <w:sz w:val="24"/>
          <w:szCs w:val="24"/>
        </w:rPr>
      </w:pPr>
      <w:r w:rsidRPr="00BF4F04">
        <w:rPr>
          <w:rStyle w:val="FootnoteReference"/>
          <w:sz w:val="22"/>
        </w:rPr>
        <w:footnoteRef/>
      </w:r>
      <w:r w:rsidRPr="00BF4F04">
        <w:rPr>
          <w:sz w:val="22"/>
        </w:rPr>
        <w:t xml:space="preserve"> </w:t>
      </w:r>
      <w:r w:rsidRPr="002118B4">
        <w:rPr>
          <w:rFonts w:ascii="Times New Roman" w:hAnsi="Times New Roman" w:cs="Times New Roman"/>
          <w:sz w:val="24"/>
          <w:szCs w:val="24"/>
        </w:rPr>
        <w:t>Những yêu cầu về kỹ năng có liên quan bao gồm (theo phụ lục B): Thiết lập quan hệ với khách hàng; Xác định mục tiêu của khách hàng và khả năng tài chính; Phân tích nhu cầu của khách hàng, khả năng tài chính và các yếu tố rủi ro; Phát triển chiến lược và các giải pháp phù hợp; Giới thiệu các chiến lược và giải pháp phù hợp cho khách hàng; Đàm phán kế hoạch tài chính/hợp đồng/tiến hành giao dịch với khách hàng; Hợp tác trong việc thực hiện hợp đồng và tiến hành giao dịch; Hoàn thiện và duy trì những hồ sơ cần thiết.</w:t>
      </w:r>
    </w:p>
  </w:footnote>
  <w:footnote w:id="7">
    <w:p w:rsidR="005F2600" w:rsidRPr="002118B4" w:rsidRDefault="005F2600" w:rsidP="00D4333F">
      <w:pPr>
        <w:pStyle w:val="FootnoteText"/>
        <w:spacing w:line="276" w:lineRule="auto"/>
        <w:jc w:val="both"/>
        <w:rPr>
          <w:rFonts w:ascii="Times New Roman" w:hAnsi="Times New Roman" w:cs="Times New Roman"/>
          <w:sz w:val="24"/>
          <w:szCs w:val="24"/>
        </w:rPr>
      </w:pPr>
      <w:r w:rsidRPr="002118B4">
        <w:rPr>
          <w:rStyle w:val="FootnoteReference"/>
          <w:rFonts w:ascii="Times New Roman" w:hAnsi="Times New Roman" w:cs="Times New Roman"/>
          <w:sz w:val="24"/>
          <w:szCs w:val="24"/>
        </w:rPr>
        <w:footnoteRef/>
      </w:r>
      <w:r w:rsidRPr="002118B4">
        <w:rPr>
          <w:rFonts w:ascii="Times New Roman" w:hAnsi="Times New Roman" w:cs="Times New Roman"/>
          <w:sz w:val="24"/>
          <w:szCs w:val="24"/>
        </w:rPr>
        <w:t xml:space="preserve"> Theo điều RG 146.134  - Phụ lục A (Những yêu cầu về kiến thức), Kiến thức chuyên sâu bao gồm: Hoạch định tài chính; Chứng khoán; Phái sinh; Quản lý đầu tư; Quỹ hưu trí; Bảo hiểm phi nhân thọ, nhân thọ, môi giới bảo hiểm;Sản phẩm tiền gửi và thanh toán không thông qua tiền mặt; Ngoại hối; Tài khoản tiết kiệm nhà đầu tiên; Các cơ sở cho vay ký quỹ; Các đơn vị khí thải theo quy định.</w:t>
      </w:r>
    </w:p>
  </w:footnote>
  <w:footnote w:id="8">
    <w:p w:rsidR="005F2600" w:rsidRPr="00AB42FF" w:rsidRDefault="005F2600" w:rsidP="00D4333F">
      <w:pPr>
        <w:pStyle w:val="FootnoteText"/>
        <w:spacing w:line="276" w:lineRule="auto"/>
        <w:jc w:val="both"/>
        <w:rPr>
          <w:rFonts w:ascii="Times New Roman" w:hAnsi="Times New Roman" w:cs="Times New Roman"/>
          <w:sz w:val="24"/>
          <w:szCs w:val="24"/>
        </w:rPr>
      </w:pPr>
      <w:r w:rsidRPr="002118B4">
        <w:rPr>
          <w:rStyle w:val="FootnoteReference"/>
          <w:rFonts w:ascii="Times New Roman" w:hAnsi="Times New Roman" w:cs="Times New Roman"/>
          <w:sz w:val="24"/>
          <w:szCs w:val="24"/>
        </w:rPr>
        <w:footnoteRef/>
      </w:r>
      <w:r w:rsidRPr="002118B4">
        <w:rPr>
          <w:rFonts w:ascii="Times New Roman" w:hAnsi="Times New Roman" w:cs="Times New Roman"/>
          <w:sz w:val="24"/>
          <w:szCs w:val="24"/>
        </w:rPr>
        <w:t xml:space="preserve"> </w:t>
      </w:r>
      <w:r w:rsidRPr="00AB42FF">
        <w:rPr>
          <w:rFonts w:ascii="Times New Roman" w:hAnsi="Times New Roman" w:cs="Times New Roman"/>
          <w:sz w:val="24"/>
          <w:szCs w:val="24"/>
        </w:rPr>
        <w:t>Theo điều RG 146.134  - Phụ lục A (Những yêu cầu về kiến thức), Kiến thức chuyên sâu bao gồm: Hoạch định tài chính; Chứng khoán; Phái sinh; Quản lý đầu tư; Quỹ hưu trí; Bảo hiểm phi nhân thọ, nhân thọ, môi giới bảo hiểm;Sản phẩm tiền gửi và thanh toán không thông qua tiền mặt; Ngoại hối; Tài khoản tiết kiệm nhà đầu tiên; Các cơ sở cho vay ký quỹ; Các đơn vị khí thải theo quy định.</w:t>
      </w:r>
    </w:p>
  </w:footnote>
  <w:footnote w:id="9">
    <w:p w:rsidR="005F2600" w:rsidRPr="00AB42FF" w:rsidRDefault="005F2600" w:rsidP="00D4333F">
      <w:pPr>
        <w:pStyle w:val="FootnoteText"/>
        <w:spacing w:line="276" w:lineRule="auto"/>
        <w:jc w:val="both"/>
        <w:rPr>
          <w:rFonts w:ascii="Times New Roman" w:hAnsi="Times New Roman" w:cs="Times New Roman"/>
          <w:sz w:val="24"/>
          <w:szCs w:val="24"/>
        </w:rPr>
      </w:pPr>
      <w:r w:rsidRPr="00AB42FF">
        <w:rPr>
          <w:rStyle w:val="FootnoteReference"/>
          <w:rFonts w:ascii="Times New Roman" w:hAnsi="Times New Roman" w:cs="Times New Roman"/>
          <w:sz w:val="24"/>
          <w:szCs w:val="24"/>
        </w:rPr>
        <w:footnoteRef/>
      </w:r>
      <w:r w:rsidRPr="00AB42FF">
        <w:rPr>
          <w:rFonts w:ascii="Times New Roman" w:hAnsi="Times New Roman" w:cs="Times New Roman"/>
          <w:sz w:val="24"/>
          <w:szCs w:val="24"/>
        </w:rPr>
        <w:t xml:space="preserve"> Những yêu cầu về kỹ năng có liên quan bao gồm (theo phụ lục B): Thiết lập quan hệ với khách hàng; Xác định mục tiêu của khách hàng và khả năng tài chính; Phân tích nhu cầu của khách hàng, khả năng tài chính và các yếu tố rủi ro; Phát triển chiến lược và các giải pháp phù hợp; Giới thiệu các chiến lược và giải pháp phù hợp cho khách hàng; Đàm phán kế hoạch tài chính/hợp đồng/tiến hành giao dịch với khách hàng; Hợp tác trong việc thực hiện hợp đồng và tiến hành giao dịch; Hoàn thiện và duy trì những hồ sơ cần thiết.</w:t>
      </w:r>
    </w:p>
  </w:footnote>
  <w:footnote w:id="10">
    <w:p w:rsidR="005F2600" w:rsidRPr="00B63FC7" w:rsidRDefault="005F2600">
      <w:pPr>
        <w:pStyle w:val="FootnoteText"/>
        <w:rPr>
          <w:rFonts w:ascii="Times New Roman" w:hAnsi="Times New Roman" w:cs="Times New Roman"/>
          <w:sz w:val="24"/>
        </w:rPr>
      </w:pPr>
      <w:r>
        <w:rPr>
          <w:rStyle w:val="FootnoteReference"/>
        </w:rPr>
        <w:footnoteRef/>
      </w:r>
      <w:r>
        <w:t xml:space="preserve"> </w:t>
      </w:r>
      <w:r w:rsidRPr="00B63FC7">
        <w:rPr>
          <w:rFonts w:ascii="Times New Roman" w:hAnsi="Times New Roman" w:cs="Times New Roman"/>
          <w:sz w:val="24"/>
        </w:rPr>
        <w:t>GCE “O” level: Theo hệ thống giáo dục của Singapore, sau khi hoàn thành chương trình bậc trung học, học sinh sẽ tham dự kỳ thi Singapore – Cambridge GCE “O” level, vượt qua kỳ thi này, học sinh sẽ nhận được bằng “O” level.</w:t>
      </w:r>
    </w:p>
  </w:footnote>
  <w:footnote w:id="11">
    <w:p w:rsidR="005F2600" w:rsidRPr="00B63FC7" w:rsidRDefault="005F2600" w:rsidP="00B63FC7">
      <w:pPr>
        <w:pStyle w:val="FootnoteText"/>
        <w:rPr>
          <w:rFonts w:ascii="Times New Roman" w:hAnsi="Times New Roman" w:cs="Times New Roman"/>
          <w:sz w:val="24"/>
        </w:rPr>
      </w:pPr>
      <w:r>
        <w:rPr>
          <w:rStyle w:val="FootnoteReference"/>
        </w:rPr>
        <w:footnoteRef/>
      </w:r>
      <w:r>
        <w:t xml:space="preserve"> </w:t>
      </w:r>
      <w:r w:rsidRPr="00B63FC7">
        <w:rPr>
          <w:rFonts w:ascii="Times New Roman" w:hAnsi="Times New Roman" w:cs="Times New Roman"/>
          <w:sz w:val="24"/>
        </w:rPr>
        <w:t>Chứng chỉ CGI được ban hành bởi Trường Cao đẳng bảo hiểm Singapore (SCI – Singapore College of Singapore) và bao gồm 3 module như sau:</w:t>
      </w:r>
    </w:p>
    <w:p w:rsidR="005F2600" w:rsidRPr="00B63FC7" w:rsidRDefault="005F2600" w:rsidP="00B63FC7">
      <w:pPr>
        <w:pStyle w:val="FootnoteText"/>
        <w:rPr>
          <w:rFonts w:ascii="Times New Roman" w:hAnsi="Times New Roman" w:cs="Times New Roman"/>
          <w:sz w:val="24"/>
        </w:rPr>
      </w:pPr>
      <w:r w:rsidRPr="00B63FC7">
        <w:rPr>
          <w:rFonts w:ascii="Times New Roman" w:hAnsi="Times New Roman" w:cs="Times New Roman"/>
          <w:sz w:val="24"/>
        </w:rPr>
        <w:t>(a) Những khái niệm và nguyên lý cơ bản của bảo hiểm (BCP - Basic Insurance Concepts and Principles);</w:t>
      </w:r>
    </w:p>
    <w:p w:rsidR="005F2600" w:rsidRPr="00B63FC7" w:rsidRDefault="005F2600" w:rsidP="00B63FC7">
      <w:pPr>
        <w:pStyle w:val="FootnoteText"/>
        <w:rPr>
          <w:rFonts w:ascii="Times New Roman" w:hAnsi="Times New Roman" w:cs="Times New Roman"/>
          <w:sz w:val="24"/>
        </w:rPr>
      </w:pPr>
      <w:r w:rsidRPr="00B63FC7">
        <w:rPr>
          <w:rFonts w:ascii="Times New Roman" w:hAnsi="Times New Roman" w:cs="Times New Roman"/>
          <w:sz w:val="24"/>
        </w:rPr>
        <w:t>(b) Bảo hiểm cá nhân (PGI – Personal General Insurance); và</w:t>
      </w:r>
    </w:p>
    <w:p w:rsidR="005F2600" w:rsidRPr="00B63FC7" w:rsidRDefault="005F2600" w:rsidP="00B63FC7">
      <w:pPr>
        <w:pStyle w:val="FootnoteText"/>
        <w:rPr>
          <w:rFonts w:ascii="Times New Roman" w:hAnsi="Times New Roman" w:cs="Times New Roman"/>
          <w:sz w:val="24"/>
        </w:rPr>
      </w:pPr>
      <w:r w:rsidRPr="00B63FC7">
        <w:rPr>
          <w:rFonts w:ascii="Times New Roman" w:hAnsi="Times New Roman" w:cs="Times New Roman"/>
          <w:sz w:val="24"/>
        </w:rPr>
        <w:t>(c) Bảo hiểm thương mại (ComGI – Commercial General Insurance)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05EB8"/>
    <w:multiLevelType w:val="hybridMultilevel"/>
    <w:tmpl w:val="E536D40A"/>
    <w:lvl w:ilvl="0" w:tplc="A6A2337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CE27A25"/>
    <w:multiLevelType w:val="hybridMultilevel"/>
    <w:tmpl w:val="3DDC7A24"/>
    <w:lvl w:ilvl="0" w:tplc="58E0265E">
      <w:start w:val="2"/>
      <w:numFmt w:val="decimal"/>
      <w:lvlText w:val="(%1)"/>
      <w:lvlJc w:val="left"/>
      <w:pPr>
        <w:ind w:left="211" w:hanging="386"/>
      </w:pPr>
      <w:rPr>
        <w:rFonts w:ascii="Century" w:eastAsia="Century" w:hAnsi="Century" w:cs="Century" w:hint="default"/>
        <w:spacing w:val="0"/>
        <w:w w:val="100"/>
        <w:sz w:val="22"/>
        <w:szCs w:val="22"/>
        <w:lang w:val="ja-JP" w:eastAsia="ja-JP" w:bidi="ja-JP"/>
      </w:rPr>
    </w:lvl>
    <w:lvl w:ilvl="1" w:tplc="4694F8C8">
      <w:start w:val="1"/>
      <w:numFmt w:val="lowerRoman"/>
      <w:lvlText w:val="(%2)"/>
      <w:lvlJc w:val="left"/>
      <w:pPr>
        <w:ind w:left="211" w:hanging="374"/>
      </w:pPr>
      <w:rPr>
        <w:rFonts w:ascii="Century" w:eastAsia="Century" w:hAnsi="Century" w:cs="Century" w:hint="default"/>
        <w:spacing w:val="0"/>
        <w:w w:val="100"/>
        <w:sz w:val="22"/>
        <w:szCs w:val="22"/>
        <w:lang w:val="ja-JP" w:eastAsia="ja-JP" w:bidi="ja-JP"/>
      </w:rPr>
    </w:lvl>
    <w:lvl w:ilvl="2" w:tplc="ABA2F502">
      <w:numFmt w:val="bullet"/>
      <w:lvlText w:val="•"/>
      <w:lvlJc w:val="left"/>
      <w:pPr>
        <w:ind w:left="2029" w:hanging="374"/>
      </w:pPr>
      <w:rPr>
        <w:rFonts w:hint="default"/>
        <w:lang w:val="ja-JP" w:eastAsia="ja-JP" w:bidi="ja-JP"/>
      </w:rPr>
    </w:lvl>
    <w:lvl w:ilvl="3" w:tplc="DE9EF8B8">
      <w:numFmt w:val="bullet"/>
      <w:lvlText w:val="•"/>
      <w:lvlJc w:val="left"/>
      <w:pPr>
        <w:ind w:left="2933" w:hanging="374"/>
      </w:pPr>
      <w:rPr>
        <w:rFonts w:hint="default"/>
        <w:lang w:val="ja-JP" w:eastAsia="ja-JP" w:bidi="ja-JP"/>
      </w:rPr>
    </w:lvl>
    <w:lvl w:ilvl="4" w:tplc="4FCA6FB6">
      <w:numFmt w:val="bullet"/>
      <w:lvlText w:val="•"/>
      <w:lvlJc w:val="left"/>
      <w:pPr>
        <w:ind w:left="3838" w:hanging="374"/>
      </w:pPr>
      <w:rPr>
        <w:rFonts w:hint="default"/>
        <w:lang w:val="ja-JP" w:eastAsia="ja-JP" w:bidi="ja-JP"/>
      </w:rPr>
    </w:lvl>
    <w:lvl w:ilvl="5" w:tplc="2D2200DA">
      <w:numFmt w:val="bullet"/>
      <w:lvlText w:val="•"/>
      <w:lvlJc w:val="left"/>
      <w:pPr>
        <w:ind w:left="4743" w:hanging="374"/>
      </w:pPr>
      <w:rPr>
        <w:rFonts w:hint="default"/>
        <w:lang w:val="ja-JP" w:eastAsia="ja-JP" w:bidi="ja-JP"/>
      </w:rPr>
    </w:lvl>
    <w:lvl w:ilvl="6" w:tplc="E422A784">
      <w:numFmt w:val="bullet"/>
      <w:lvlText w:val="•"/>
      <w:lvlJc w:val="left"/>
      <w:pPr>
        <w:ind w:left="5647" w:hanging="374"/>
      </w:pPr>
      <w:rPr>
        <w:rFonts w:hint="default"/>
        <w:lang w:val="ja-JP" w:eastAsia="ja-JP" w:bidi="ja-JP"/>
      </w:rPr>
    </w:lvl>
    <w:lvl w:ilvl="7" w:tplc="18EC7162">
      <w:numFmt w:val="bullet"/>
      <w:lvlText w:val="•"/>
      <w:lvlJc w:val="left"/>
      <w:pPr>
        <w:ind w:left="6552" w:hanging="374"/>
      </w:pPr>
      <w:rPr>
        <w:rFonts w:hint="default"/>
        <w:lang w:val="ja-JP" w:eastAsia="ja-JP" w:bidi="ja-JP"/>
      </w:rPr>
    </w:lvl>
    <w:lvl w:ilvl="8" w:tplc="3EBE8CDE">
      <w:numFmt w:val="bullet"/>
      <w:lvlText w:val="•"/>
      <w:lvlJc w:val="left"/>
      <w:pPr>
        <w:ind w:left="7457" w:hanging="374"/>
      </w:pPr>
      <w:rPr>
        <w:rFonts w:hint="default"/>
        <w:lang w:val="ja-JP" w:eastAsia="ja-JP" w:bidi="ja-JP"/>
      </w:rPr>
    </w:lvl>
  </w:abstractNum>
  <w:abstractNum w:abstractNumId="2">
    <w:nsid w:val="10203D8F"/>
    <w:multiLevelType w:val="hybridMultilevel"/>
    <w:tmpl w:val="C85E6956"/>
    <w:lvl w:ilvl="0" w:tplc="6DAE3CEC">
      <w:start w:val="1"/>
      <w:numFmt w:val="lowerRoman"/>
      <w:lvlText w:val="(%1)"/>
      <w:lvlJc w:val="left"/>
      <w:pPr>
        <w:ind w:left="211" w:hanging="302"/>
      </w:pPr>
      <w:rPr>
        <w:rFonts w:ascii="Century" w:eastAsia="Century" w:hAnsi="Century" w:cs="Century" w:hint="default"/>
        <w:spacing w:val="0"/>
        <w:w w:val="100"/>
        <w:sz w:val="22"/>
        <w:szCs w:val="22"/>
        <w:lang w:val="ja-JP" w:eastAsia="ja-JP" w:bidi="ja-JP"/>
      </w:rPr>
    </w:lvl>
    <w:lvl w:ilvl="1" w:tplc="ADFE9CE0">
      <w:numFmt w:val="bullet"/>
      <w:lvlText w:val="•"/>
      <w:lvlJc w:val="left"/>
      <w:pPr>
        <w:ind w:left="1124" w:hanging="302"/>
      </w:pPr>
      <w:rPr>
        <w:rFonts w:hint="default"/>
        <w:lang w:val="ja-JP" w:eastAsia="ja-JP" w:bidi="ja-JP"/>
      </w:rPr>
    </w:lvl>
    <w:lvl w:ilvl="2" w:tplc="BB02D0F2">
      <w:numFmt w:val="bullet"/>
      <w:lvlText w:val="•"/>
      <w:lvlJc w:val="left"/>
      <w:pPr>
        <w:ind w:left="2029" w:hanging="302"/>
      </w:pPr>
      <w:rPr>
        <w:rFonts w:hint="default"/>
        <w:lang w:val="ja-JP" w:eastAsia="ja-JP" w:bidi="ja-JP"/>
      </w:rPr>
    </w:lvl>
    <w:lvl w:ilvl="3" w:tplc="577E12EC">
      <w:numFmt w:val="bullet"/>
      <w:lvlText w:val="•"/>
      <w:lvlJc w:val="left"/>
      <w:pPr>
        <w:ind w:left="2933" w:hanging="302"/>
      </w:pPr>
      <w:rPr>
        <w:rFonts w:hint="default"/>
        <w:lang w:val="ja-JP" w:eastAsia="ja-JP" w:bidi="ja-JP"/>
      </w:rPr>
    </w:lvl>
    <w:lvl w:ilvl="4" w:tplc="31865D7A">
      <w:numFmt w:val="bullet"/>
      <w:lvlText w:val="•"/>
      <w:lvlJc w:val="left"/>
      <w:pPr>
        <w:ind w:left="3838" w:hanging="302"/>
      </w:pPr>
      <w:rPr>
        <w:rFonts w:hint="default"/>
        <w:lang w:val="ja-JP" w:eastAsia="ja-JP" w:bidi="ja-JP"/>
      </w:rPr>
    </w:lvl>
    <w:lvl w:ilvl="5" w:tplc="83C8EE16">
      <w:numFmt w:val="bullet"/>
      <w:lvlText w:val="•"/>
      <w:lvlJc w:val="left"/>
      <w:pPr>
        <w:ind w:left="4743" w:hanging="302"/>
      </w:pPr>
      <w:rPr>
        <w:rFonts w:hint="default"/>
        <w:lang w:val="ja-JP" w:eastAsia="ja-JP" w:bidi="ja-JP"/>
      </w:rPr>
    </w:lvl>
    <w:lvl w:ilvl="6" w:tplc="77E28AAE">
      <w:numFmt w:val="bullet"/>
      <w:lvlText w:val="•"/>
      <w:lvlJc w:val="left"/>
      <w:pPr>
        <w:ind w:left="5647" w:hanging="302"/>
      </w:pPr>
      <w:rPr>
        <w:rFonts w:hint="default"/>
        <w:lang w:val="ja-JP" w:eastAsia="ja-JP" w:bidi="ja-JP"/>
      </w:rPr>
    </w:lvl>
    <w:lvl w:ilvl="7" w:tplc="B1DE296E">
      <w:numFmt w:val="bullet"/>
      <w:lvlText w:val="•"/>
      <w:lvlJc w:val="left"/>
      <w:pPr>
        <w:ind w:left="6552" w:hanging="302"/>
      </w:pPr>
      <w:rPr>
        <w:rFonts w:hint="default"/>
        <w:lang w:val="ja-JP" w:eastAsia="ja-JP" w:bidi="ja-JP"/>
      </w:rPr>
    </w:lvl>
    <w:lvl w:ilvl="8" w:tplc="D67CDAF8">
      <w:numFmt w:val="bullet"/>
      <w:lvlText w:val="•"/>
      <w:lvlJc w:val="left"/>
      <w:pPr>
        <w:ind w:left="7457" w:hanging="302"/>
      </w:pPr>
      <w:rPr>
        <w:rFonts w:hint="default"/>
        <w:lang w:val="ja-JP" w:eastAsia="ja-JP" w:bidi="ja-JP"/>
      </w:rPr>
    </w:lvl>
  </w:abstractNum>
  <w:abstractNum w:abstractNumId="3">
    <w:nsid w:val="10D7328A"/>
    <w:multiLevelType w:val="multilevel"/>
    <w:tmpl w:val="297A80DA"/>
    <w:lvl w:ilvl="0">
      <w:start w:val="1"/>
      <w:numFmt w:val="decimal"/>
      <w:lvlText w:val="%1."/>
      <w:lvlJc w:val="left"/>
      <w:pPr>
        <w:ind w:left="450" w:hanging="450"/>
      </w:pPr>
      <w:rPr>
        <w:rFonts w:hint="default"/>
      </w:rPr>
    </w:lvl>
    <w:lvl w:ilvl="1">
      <w:start w:val="6"/>
      <w:numFmt w:val="decimal"/>
      <w:lvlText w:val="%1.%2."/>
      <w:lvlJc w:val="left"/>
      <w:pPr>
        <w:ind w:left="99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
    <w:nsid w:val="125C17ED"/>
    <w:multiLevelType w:val="multilevel"/>
    <w:tmpl w:val="46465242"/>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25BA7789"/>
    <w:multiLevelType w:val="multilevel"/>
    <w:tmpl w:val="BB12501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1017" w:hanging="45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nsid w:val="26640972"/>
    <w:multiLevelType w:val="hybridMultilevel"/>
    <w:tmpl w:val="7D44F71C"/>
    <w:lvl w:ilvl="0" w:tplc="842C27C8">
      <w:start w:val="1"/>
      <w:numFmt w:val="lowerLetter"/>
      <w:lvlText w:val="(%1)"/>
      <w:lvlJc w:val="right"/>
      <w:pPr>
        <w:ind w:left="785" w:hanging="360"/>
      </w:pPr>
      <w:rPr>
        <w:rFonts w:hint="default"/>
        <w:i w:val="0"/>
        <w:spacing w:val="0"/>
        <w:w w:val="100"/>
        <w:sz w:val="24"/>
        <w:szCs w:val="24"/>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30C65C33"/>
    <w:multiLevelType w:val="multilevel"/>
    <w:tmpl w:val="9A66E4C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A35339E"/>
    <w:multiLevelType w:val="hybridMultilevel"/>
    <w:tmpl w:val="ED7C51F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nsid w:val="441E70EA"/>
    <w:multiLevelType w:val="hybridMultilevel"/>
    <w:tmpl w:val="036455B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6850FAA"/>
    <w:multiLevelType w:val="hybridMultilevel"/>
    <w:tmpl w:val="1F185A9A"/>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
    <w:nsid w:val="6EE81A09"/>
    <w:multiLevelType w:val="hybridMultilevel"/>
    <w:tmpl w:val="0E067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827D88"/>
    <w:multiLevelType w:val="hybridMultilevel"/>
    <w:tmpl w:val="63AE670E"/>
    <w:lvl w:ilvl="0" w:tplc="B50ABB9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7C3710DD"/>
    <w:multiLevelType w:val="hybridMultilevel"/>
    <w:tmpl w:val="26B09016"/>
    <w:lvl w:ilvl="0" w:tplc="87DC89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3"/>
  </w:num>
  <w:num w:numId="4">
    <w:abstractNumId w:val="11"/>
  </w:num>
  <w:num w:numId="5">
    <w:abstractNumId w:val="8"/>
  </w:num>
  <w:num w:numId="6">
    <w:abstractNumId w:val="0"/>
  </w:num>
  <w:num w:numId="7">
    <w:abstractNumId w:val="6"/>
  </w:num>
  <w:num w:numId="8">
    <w:abstractNumId w:val="12"/>
  </w:num>
  <w:num w:numId="9">
    <w:abstractNumId w:val="5"/>
  </w:num>
  <w:num w:numId="10">
    <w:abstractNumId w:val="4"/>
  </w:num>
  <w:num w:numId="11">
    <w:abstractNumId w:val="7"/>
  </w:num>
  <w:num w:numId="12">
    <w:abstractNumId w:val="3"/>
  </w:num>
  <w:num w:numId="13">
    <w:abstractNumId w:val="2"/>
  </w:num>
  <w:num w:numId="14">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8640"/>
  <w:characterSpacingControl w:val="doNotCompress"/>
  <w:hdrShapeDefaults>
    <o:shapedefaults v:ext="edit" spidmax="12289"/>
  </w:hdrShapeDefaults>
  <w:footnotePr>
    <w:footnote w:id="-1"/>
    <w:footnote w:id="0"/>
  </w:footnotePr>
  <w:endnotePr>
    <w:endnote w:id="-1"/>
    <w:endnote w:id="0"/>
  </w:endnotePr>
  <w:compat/>
  <w:rsids>
    <w:rsidRoot w:val="00E41B32"/>
    <w:rsid w:val="00005EBA"/>
    <w:rsid w:val="000152EE"/>
    <w:rsid w:val="00016721"/>
    <w:rsid w:val="00023F83"/>
    <w:rsid w:val="000240F2"/>
    <w:rsid w:val="00026441"/>
    <w:rsid w:val="00035A53"/>
    <w:rsid w:val="00040401"/>
    <w:rsid w:val="00056756"/>
    <w:rsid w:val="000572E5"/>
    <w:rsid w:val="0006313B"/>
    <w:rsid w:val="000649B8"/>
    <w:rsid w:val="000657D8"/>
    <w:rsid w:val="000674A5"/>
    <w:rsid w:val="00074FF8"/>
    <w:rsid w:val="00076773"/>
    <w:rsid w:val="0008033C"/>
    <w:rsid w:val="00085398"/>
    <w:rsid w:val="00085B77"/>
    <w:rsid w:val="000900C9"/>
    <w:rsid w:val="00095122"/>
    <w:rsid w:val="000A778A"/>
    <w:rsid w:val="000B41F7"/>
    <w:rsid w:val="000C170B"/>
    <w:rsid w:val="000C1945"/>
    <w:rsid w:val="000C3C30"/>
    <w:rsid w:val="000D67A1"/>
    <w:rsid w:val="00102281"/>
    <w:rsid w:val="00103963"/>
    <w:rsid w:val="00103D13"/>
    <w:rsid w:val="00107A7C"/>
    <w:rsid w:val="00141033"/>
    <w:rsid w:val="00152BE4"/>
    <w:rsid w:val="00161C7E"/>
    <w:rsid w:val="00163912"/>
    <w:rsid w:val="00172A3B"/>
    <w:rsid w:val="00177506"/>
    <w:rsid w:val="0018023B"/>
    <w:rsid w:val="00181617"/>
    <w:rsid w:val="001841ED"/>
    <w:rsid w:val="00194275"/>
    <w:rsid w:val="001B168B"/>
    <w:rsid w:val="001B4689"/>
    <w:rsid w:val="001B5674"/>
    <w:rsid w:val="001C16F2"/>
    <w:rsid w:val="001C1B9D"/>
    <w:rsid w:val="001C2F58"/>
    <w:rsid w:val="001C5464"/>
    <w:rsid w:val="001D4F97"/>
    <w:rsid w:val="001D66CE"/>
    <w:rsid w:val="001E0FD8"/>
    <w:rsid w:val="001F1AB3"/>
    <w:rsid w:val="001F3934"/>
    <w:rsid w:val="002118B4"/>
    <w:rsid w:val="002207BC"/>
    <w:rsid w:val="00222EE8"/>
    <w:rsid w:val="002272E9"/>
    <w:rsid w:val="00231CFD"/>
    <w:rsid w:val="0023455E"/>
    <w:rsid w:val="00243370"/>
    <w:rsid w:val="00243F3E"/>
    <w:rsid w:val="00247E63"/>
    <w:rsid w:val="00272025"/>
    <w:rsid w:val="00274C39"/>
    <w:rsid w:val="00280E71"/>
    <w:rsid w:val="0029071B"/>
    <w:rsid w:val="002A0698"/>
    <w:rsid w:val="002B6793"/>
    <w:rsid w:val="002B76A3"/>
    <w:rsid w:val="002D2281"/>
    <w:rsid w:val="002D3523"/>
    <w:rsid w:val="002D7221"/>
    <w:rsid w:val="002E1EE7"/>
    <w:rsid w:val="002E76C9"/>
    <w:rsid w:val="002F30D4"/>
    <w:rsid w:val="002F7420"/>
    <w:rsid w:val="00302D90"/>
    <w:rsid w:val="003034AB"/>
    <w:rsid w:val="0030415D"/>
    <w:rsid w:val="0031204C"/>
    <w:rsid w:val="003339A4"/>
    <w:rsid w:val="00336F8E"/>
    <w:rsid w:val="003733D3"/>
    <w:rsid w:val="003736DB"/>
    <w:rsid w:val="0037570B"/>
    <w:rsid w:val="003758F4"/>
    <w:rsid w:val="00376BD5"/>
    <w:rsid w:val="00381DF1"/>
    <w:rsid w:val="00384563"/>
    <w:rsid w:val="003912D3"/>
    <w:rsid w:val="00392157"/>
    <w:rsid w:val="0039671C"/>
    <w:rsid w:val="003A2691"/>
    <w:rsid w:val="003A3C8B"/>
    <w:rsid w:val="003A59D4"/>
    <w:rsid w:val="003B3CDA"/>
    <w:rsid w:val="003B7838"/>
    <w:rsid w:val="003C0B9F"/>
    <w:rsid w:val="003C25BD"/>
    <w:rsid w:val="003C72C0"/>
    <w:rsid w:val="003D0DB7"/>
    <w:rsid w:val="003D1C5C"/>
    <w:rsid w:val="003D5831"/>
    <w:rsid w:val="003D6CAD"/>
    <w:rsid w:val="003E55D9"/>
    <w:rsid w:val="003E7C59"/>
    <w:rsid w:val="003F0133"/>
    <w:rsid w:val="003F05C4"/>
    <w:rsid w:val="003F1122"/>
    <w:rsid w:val="004000E5"/>
    <w:rsid w:val="00401A40"/>
    <w:rsid w:val="0040399F"/>
    <w:rsid w:val="00406836"/>
    <w:rsid w:val="00411CD3"/>
    <w:rsid w:val="00415FF2"/>
    <w:rsid w:val="00431943"/>
    <w:rsid w:val="00433510"/>
    <w:rsid w:val="0044037B"/>
    <w:rsid w:val="00446414"/>
    <w:rsid w:val="00446DF9"/>
    <w:rsid w:val="00462927"/>
    <w:rsid w:val="00467090"/>
    <w:rsid w:val="00471A83"/>
    <w:rsid w:val="004774EE"/>
    <w:rsid w:val="00481301"/>
    <w:rsid w:val="0048559C"/>
    <w:rsid w:val="004908E6"/>
    <w:rsid w:val="0049667A"/>
    <w:rsid w:val="004A0FC6"/>
    <w:rsid w:val="004A41FA"/>
    <w:rsid w:val="004B41AF"/>
    <w:rsid w:val="004B5BFC"/>
    <w:rsid w:val="004C1FF2"/>
    <w:rsid w:val="004C4903"/>
    <w:rsid w:val="004D0D9A"/>
    <w:rsid w:val="004D2530"/>
    <w:rsid w:val="004D397E"/>
    <w:rsid w:val="004D3FE1"/>
    <w:rsid w:val="004E1C1F"/>
    <w:rsid w:val="004E6C15"/>
    <w:rsid w:val="004F0880"/>
    <w:rsid w:val="004F22AA"/>
    <w:rsid w:val="004F7BA2"/>
    <w:rsid w:val="005067C5"/>
    <w:rsid w:val="0051195E"/>
    <w:rsid w:val="005124C7"/>
    <w:rsid w:val="00512A52"/>
    <w:rsid w:val="0052446F"/>
    <w:rsid w:val="0053452F"/>
    <w:rsid w:val="00547C3A"/>
    <w:rsid w:val="00547EE3"/>
    <w:rsid w:val="0055386C"/>
    <w:rsid w:val="00571C84"/>
    <w:rsid w:val="00573BE8"/>
    <w:rsid w:val="00577EAF"/>
    <w:rsid w:val="00580AD8"/>
    <w:rsid w:val="00581F2D"/>
    <w:rsid w:val="00590C83"/>
    <w:rsid w:val="005A2645"/>
    <w:rsid w:val="005B1DCA"/>
    <w:rsid w:val="005C32A0"/>
    <w:rsid w:val="005C4504"/>
    <w:rsid w:val="005D2930"/>
    <w:rsid w:val="005E4BFC"/>
    <w:rsid w:val="005F2600"/>
    <w:rsid w:val="005F2685"/>
    <w:rsid w:val="005F6AA0"/>
    <w:rsid w:val="00606145"/>
    <w:rsid w:val="00606D3B"/>
    <w:rsid w:val="00607D9C"/>
    <w:rsid w:val="00614B8B"/>
    <w:rsid w:val="00617C24"/>
    <w:rsid w:val="00621ED8"/>
    <w:rsid w:val="00621FDC"/>
    <w:rsid w:val="00622E7D"/>
    <w:rsid w:val="00623148"/>
    <w:rsid w:val="0062384B"/>
    <w:rsid w:val="00627794"/>
    <w:rsid w:val="0063121A"/>
    <w:rsid w:val="006433E2"/>
    <w:rsid w:val="0064777E"/>
    <w:rsid w:val="00650ACD"/>
    <w:rsid w:val="0065582F"/>
    <w:rsid w:val="0066581A"/>
    <w:rsid w:val="00670767"/>
    <w:rsid w:val="00674CD6"/>
    <w:rsid w:val="00677FC0"/>
    <w:rsid w:val="00683048"/>
    <w:rsid w:val="006841A9"/>
    <w:rsid w:val="00695028"/>
    <w:rsid w:val="006A18D8"/>
    <w:rsid w:val="006A500D"/>
    <w:rsid w:val="006A6DA4"/>
    <w:rsid w:val="006B0123"/>
    <w:rsid w:val="006B1289"/>
    <w:rsid w:val="006B426E"/>
    <w:rsid w:val="006B58CD"/>
    <w:rsid w:val="006B6DA7"/>
    <w:rsid w:val="006D3392"/>
    <w:rsid w:val="006D4ACF"/>
    <w:rsid w:val="006D585B"/>
    <w:rsid w:val="006E12F1"/>
    <w:rsid w:val="006E5F55"/>
    <w:rsid w:val="006F1A0F"/>
    <w:rsid w:val="006F50E5"/>
    <w:rsid w:val="00705032"/>
    <w:rsid w:val="00710391"/>
    <w:rsid w:val="00713463"/>
    <w:rsid w:val="00716763"/>
    <w:rsid w:val="0071690A"/>
    <w:rsid w:val="00732206"/>
    <w:rsid w:val="0073251B"/>
    <w:rsid w:val="007354FA"/>
    <w:rsid w:val="00743205"/>
    <w:rsid w:val="00751773"/>
    <w:rsid w:val="007745BC"/>
    <w:rsid w:val="0077511C"/>
    <w:rsid w:val="00781EE7"/>
    <w:rsid w:val="007932DD"/>
    <w:rsid w:val="007A2506"/>
    <w:rsid w:val="007A7CD1"/>
    <w:rsid w:val="007B3100"/>
    <w:rsid w:val="007B5264"/>
    <w:rsid w:val="007C1DB5"/>
    <w:rsid w:val="007C2F44"/>
    <w:rsid w:val="007E13B5"/>
    <w:rsid w:val="007E2728"/>
    <w:rsid w:val="007E6C1F"/>
    <w:rsid w:val="007F1D27"/>
    <w:rsid w:val="007F3BA2"/>
    <w:rsid w:val="007F75F8"/>
    <w:rsid w:val="00802832"/>
    <w:rsid w:val="008044FE"/>
    <w:rsid w:val="0082232E"/>
    <w:rsid w:val="00825B1A"/>
    <w:rsid w:val="00830ED8"/>
    <w:rsid w:val="00830F94"/>
    <w:rsid w:val="0083292A"/>
    <w:rsid w:val="008334A3"/>
    <w:rsid w:val="008339C3"/>
    <w:rsid w:val="008354C2"/>
    <w:rsid w:val="008356D3"/>
    <w:rsid w:val="008366A1"/>
    <w:rsid w:val="00847DD2"/>
    <w:rsid w:val="008572DD"/>
    <w:rsid w:val="00861CDD"/>
    <w:rsid w:val="008824CB"/>
    <w:rsid w:val="008928C1"/>
    <w:rsid w:val="008A0330"/>
    <w:rsid w:val="008A18AC"/>
    <w:rsid w:val="008A4928"/>
    <w:rsid w:val="008B4104"/>
    <w:rsid w:val="008B530A"/>
    <w:rsid w:val="008B718D"/>
    <w:rsid w:val="008B78E0"/>
    <w:rsid w:val="008C4A53"/>
    <w:rsid w:val="008D3027"/>
    <w:rsid w:val="008D3CE9"/>
    <w:rsid w:val="008D42EC"/>
    <w:rsid w:val="008D53EB"/>
    <w:rsid w:val="008E778F"/>
    <w:rsid w:val="008F7AD3"/>
    <w:rsid w:val="00902725"/>
    <w:rsid w:val="0090639C"/>
    <w:rsid w:val="009174C1"/>
    <w:rsid w:val="009274E0"/>
    <w:rsid w:val="00927D7B"/>
    <w:rsid w:val="0093237E"/>
    <w:rsid w:val="00941515"/>
    <w:rsid w:val="00946688"/>
    <w:rsid w:val="00953318"/>
    <w:rsid w:val="00954057"/>
    <w:rsid w:val="00955D26"/>
    <w:rsid w:val="009578E4"/>
    <w:rsid w:val="0096062F"/>
    <w:rsid w:val="00961873"/>
    <w:rsid w:val="00961971"/>
    <w:rsid w:val="00963FD8"/>
    <w:rsid w:val="00966019"/>
    <w:rsid w:val="00977822"/>
    <w:rsid w:val="00985DEF"/>
    <w:rsid w:val="009966D3"/>
    <w:rsid w:val="009A17E8"/>
    <w:rsid w:val="009A69A9"/>
    <w:rsid w:val="009A7C46"/>
    <w:rsid w:val="009B059E"/>
    <w:rsid w:val="009B05D5"/>
    <w:rsid w:val="009B37BB"/>
    <w:rsid w:val="009B4117"/>
    <w:rsid w:val="009B5F58"/>
    <w:rsid w:val="009C4A92"/>
    <w:rsid w:val="009C738E"/>
    <w:rsid w:val="009E4134"/>
    <w:rsid w:val="009E6FC1"/>
    <w:rsid w:val="009F03B3"/>
    <w:rsid w:val="009F16B7"/>
    <w:rsid w:val="00A0401E"/>
    <w:rsid w:val="00A109B7"/>
    <w:rsid w:val="00A16A86"/>
    <w:rsid w:val="00A23B68"/>
    <w:rsid w:val="00A27303"/>
    <w:rsid w:val="00A45285"/>
    <w:rsid w:val="00A735F3"/>
    <w:rsid w:val="00A82160"/>
    <w:rsid w:val="00A835DD"/>
    <w:rsid w:val="00A852E3"/>
    <w:rsid w:val="00A87254"/>
    <w:rsid w:val="00A93137"/>
    <w:rsid w:val="00A94181"/>
    <w:rsid w:val="00A97B8B"/>
    <w:rsid w:val="00AA14BD"/>
    <w:rsid w:val="00AA3E38"/>
    <w:rsid w:val="00AA5BDB"/>
    <w:rsid w:val="00AA6D27"/>
    <w:rsid w:val="00AB42FF"/>
    <w:rsid w:val="00AB51DC"/>
    <w:rsid w:val="00AC0339"/>
    <w:rsid w:val="00AD54CB"/>
    <w:rsid w:val="00AF6E0D"/>
    <w:rsid w:val="00AF6FA1"/>
    <w:rsid w:val="00B00054"/>
    <w:rsid w:val="00B0052F"/>
    <w:rsid w:val="00B02CA3"/>
    <w:rsid w:val="00B079A9"/>
    <w:rsid w:val="00B1548A"/>
    <w:rsid w:val="00B217EB"/>
    <w:rsid w:val="00B33794"/>
    <w:rsid w:val="00B364C2"/>
    <w:rsid w:val="00B40B74"/>
    <w:rsid w:val="00B428FD"/>
    <w:rsid w:val="00B42BE3"/>
    <w:rsid w:val="00B44E29"/>
    <w:rsid w:val="00B4540F"/>
    <w:rsid w:val="00B466FE"/>
    <w:rsid w:val="00B62057"/>
    <w:rsid w:val="00B62594"/>
    <w:rsid w:val="00B63FC7"/>
    <w:rsid w:val="00B63FEC"/>
    <w:rsid w:val="00B6521F"/>
    <w:rsid w:val="00B72BA3"/>
    <w:rsid w:val="00B751F4"/>
    <w:rsid w:val="00B9354E"/>
    <w:rsid w:val="00BA7679"/>
    <w:rsid w:val="00BB0B3E"/>
    <w:rsid w:val="00BB4F3E"/>
    <w:rsid w:val="00BB73B1"/>
    <w:rsid w:val="00BC079E"/>
    <w:rsid w:val="00BC6591"/>
    <w:rsid w:val="00BC6E9C"/>
    <w:rsid w:val="00BD340F"/>
    <w:rsid w:val="00BE61A5"/>
    <w:rsid w:val="00BF32A2"/>
    <w:rsid w:val="00BF680E"/>
    <w:rsid w:val="00C00572"/>
    <w:rsid w:val="00C06684"/>
    <w:rsid w:val="00C12F4C"/>
    <w:rsid w:val="00C167A3"/>
    <w:rsid w:val="00C2348F"/>
    <w:rsid w:val="00C25EE9"/>
    <w:rsid w:val="00C30D79"/>
    <w:rsid w:val="00C31D1B"/>
    <w:rsid w:val="00C338DA"/>
    <w:rsid w:val="00C47FAE"/>
    <w:rsid w:val="00C6052D"/>
    <w:rsid w:val="00C60B8B"/>
    <w:rsid w:val="00C61836"/>
    <w:rsid w:val="00C65AFA"/>
    <w:rsid w:val="00C76319"/>
    <w:rsid w:val="00C8210A"/>
    <w:rsid w:val="00C84C32"/>
    <w:rsid w:val="00C903F7"/>
    <w:rsid w:val="00CA3133"/>
    <w:rsid w:val="00CB4F2D"/>
    <w:rsid w:val="00CC3136"/>
    <w:rsid w:val="00CC6153"/>
    <w:rsid w:val="00CD04CC"/>
    <w:rsid w:val="00CD0E3B"/>
    <w:rsid w:val="00CD1133"/>
    <w:rsid w:val="00CD1E71"/>
    <w:rsid w:val="00CD4A7C"/>
    <w:rsid w:val="00CD4C7B"/>
    <w:rsid w:val="00CE6D42"/>
    <w:rsid w:val="00CF053C"/>
    <w:rsid w:val="00D000DE"/>
    <w:rsid w:val="00D02286"/>
    <w:rsid w:val="00D027BE"/>
    <w:rsid w:val="00D07CEC"/>
    <w:rsid w:val="00D107F9"/>
    <w:rsid w:val="00D10D36"/>
    <w:rsid w:val="00D12458"/>
    <w:rsid w:val="00D142A9"/>
    <w:rsid w:val="00D1652A"/>
    <w:rsid w:val="00D1699D"/>
    <w:rsid w:val="00D203FF"/>
    <w:rsid w:val="00D26EF8"/>
    <w:rsid w:val="00D26F70"/>
    <w:rsid w:val="00D2746C"/>
    <w:rsid w:val="00D4333F"/>
    <w:rsid w:val="00D47A29"/>
    <w:rsid w:val="00D51E55"/>
    <w:rsid w:val="00D648A1"/>
    <w:rsid w:val="00D7089D"/>
    <w:rsid w:val="00D7615B"/>
    <w:rsid w:val="00D80F58"/>
    <w:rsid w:val="00D82A8F"/>
    <w:rsid w:val="00D83C1C"/>
    <w:rsid w:val="00D927B6"/>
    <w:rsid w:val="00D958C5"/>
    <w:rsid w:val="00DA13A8"/>
    <w:rsid w:val="00DA4353"/>
    <w:rsid w:val="00DB7514"/>
    <w:rsid w:val="00DC04D3"/>
    <w:rsid w:val="00DD386E"/>
    <w:rsid w:val="00DD7E67"/>
    <w:rsid w:val="00DE3B2F"/>
    <w:rsid w:val="00DF0A17"/>
    <w:rsid w:val="00DF282C"/>
    <w:rsid w:val="00E0177C"/>
    <w:rsid w:val="00E02BF1"/>
    <w:rsid w:val="00E13E82"/>
    <w:rsid w:val="00E14099"/>
    <w:rsid w:val="00E16049"/>
    <w:rsid w:val="00E16699"/>
    <w:rsid w:val="00E17DB7"/>
    <w:rsid w:val="00E32D3F"/>
    <w:rsid w:val="00E3325D"/>
    <w:rsid w:val="00E33915"/>
    <w:rsid w:val="00E37F92"/>
    <w:rsid w:val="00E41B32"/>
    <w:rsid w:val="00E423B5"/>
    <w:rsid w:val="00E43F09"/>
    <w:rsid w:val="00E51CDC"/>
    <w:rsid w:val="00E5588F"/>
    <w:rsid w:val="00E61024"/>
    <w:rsid w:val="00E61961"/>
    <w:rsid w:val="00E640EC"/>
    <w:rsid w:val="00E76C6B"/>
    <w:rsid w:val="00E80119"/>
    <w:rsid w:val="00E84679"/>
    <w:rsid w:val="00E8474C"/>
    <w:rsid w:val="00E94317"/>
    <w:rsid w:val="00EA42AD"/>
    <w:rsid w:val="00EA6A74"/>
    <w:rsid w:val="00EB2508"/>
    <w:rsid w:val="00EB340A"/>
    <w:rsid w:val="00EB6AC0"/>
    <w:rsid w:val="00EB70D6"/>
    <w:rsid w:val="00EC051C"/>
    <w:rsid w:val="00EC4B31"/>
    <w:rsid w:val="00EC78E5"/>
    <w:rsid w:val="00ED2E96"/>
    <w:rsid w:val="00EE5B9F"/>
    <w:rsid w:val="00F33B42"/>
    <w:rsid w:val="00F37441"/>
    <w:rsid w:val="00F70185"/>
    <w:rsid w:val="00F800BE"/>
    <w:rsid w:val="00F913CD"/>
    <w:rsid w:val="00F93D26"/>
    <w:rsid w:val="00F959C4"/>
    <w:rsid w:val="00F95ABB"/>
    <w:rsid w:val="00FB36AF"/>
    <w:rsid w:val="00FB7A04"/>
    <w:rsid w:val="00FD0BA0"/>
    <w:rsid w:val="00FE1890"/>
    <w:rsid w:val="00FE2C82"/>
    <w:rsid w:val="00FE4E0A"/>
    <w:rsid w:val="00FE59EE"/>
    <w:rsid w:val="00FF10CC"/>
    <w:rsid w:val="00FF3592"/>
    <w:rsid w:val="00FF3A2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rules v:ext="edit">
        <o:r id="V:Rule5" type="connector" idref="#AutoShape 21"/>
        <o:r id="V:Rule6" type="connector" idref="#AutoShape 23"/>
        <o:r id="V:Rule7" type="connector" idref="#AutoShape 20"/>
        <o:r id="V:Rule8" type="connector" idref="#AutoShap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92A"/>
  </w:style>
  <w:style w:type="paragraph" w:styleId="Heading1">
    <w:name w:val="heading 1"/>
    <w:basedOn w:val="Normal"/>
    <w:next w:val="Normal"/>
    <w:link w:val="Heading1Char1"/>
    <w:uiPriority w:val="9"/>
    <w:qFormat/>
    <w:rsid w:val="005D29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D2930"/>
    <w:pPr>
      <w:keepNext/>
      <w:keepLines/>
      <w:spacing w:before="200" w:after="0"/>
      <w:outlineLvl w:val="1"/>
    </w:pPr>
    <w:rPr>
      <w:rFonts w:ascii="Times New Roman" w:eastAsia="Times New Roman" w:hAnsi="Times New Roman" w:cs="Times New Roman"/>
      <w:color w:val="2E74B5"/>
      <w:sz w:val="26"/>
      <w:szCs w:val="26"/>
    </w:rPr>
  </w:style>
  <w:style w:type="paragraph" w:styleId="Heading3">
    <w:name w:val="heading 3"/>
    <w:basedOn w:val="Normal"/>
    <w:next w:val="Normal"/>
    <w:link w:val="Heading3Char"/>
    <w:uiPriority w:val="9"/>
    <w:unhideWhenUsed/>
    <w:qFormat/>
    <w:rsid w:val="005F6AA0"/>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5D2930"/>
    <w:pPr>
      <w:keepNext/>
      <w:keepLines/>
      <w:spacing w:before="200" w:after="0"/>
      <w:outlineLvl w:val="3"/>
    </w:pPr>
    <w:rPr>
      <w:rFonts w:ascii="Times New Roman" w:eastAsia="Times New Roman" w:hAnsi="Times New Roman" w:cs="Times New Roman"/>
      <w:i/>
      <w:iCs/>
      <w:color w:val="2E74B5"/>
    </w:rPr>
  </w:style>
  <w:style w:type="paragraph" w:styleId="Heading6">
    <w:name w:val="heading 6"/>
    <w:basedOn w:val="Normal"/>
    <w:link w:val="Heading6Char"/>
    <w:uiPriority w:val="9"/>
    <w:qFormat/>
    <w:rsid w:val="005D293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B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4774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A03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0330"/>
    <w:rPr>
      <w:sz w:val="20"/>
      <w:szCs w:val="20"/>
    </w:rPr>
  </w:style>
  <w:style w:type="character" w:styleId="FootnoteReference">
    <w:name w:val="footnote reference"/>
    <w:basedOn w:val="DefaultParagraphFont"/>
    <w:uiPriority w:val="99"/>
    <w:semiHidden/>
    <w:unhideWhenUsed/>
    <w:rsid w:val="008A0330"/>
    <w:rPr>
      <w:vertAlign w:val="superscript"/>
    </w:rPr>
  </w:style>
  <w:style w:type="paragraph" w:styleId="ListParagraph">
    <w:name w:val="List Paragraph"/>
    <w:basedOn w:val="Normal"/>
    <w:uiPriority w:val="34"/>
    <w:qFormat/>
    <w:rsid w:val="008A0330"/>
    <w:pPr>
      <w:ind w:left="720"/>
      <w:contextualSpacing/>
    </w:pPr>
  </w:style>
  <w:style w:type="character" w:customStyle="1" w:styleId="Heading3Char">
    <w:name w:val="Heading 3 Char"/>
    <w:basedOn w:val="DefaultParagraphFont"/>
    <w:link w:val="Heading3"/>
    <w:uiPriority w:val="9"/>
    <w:rsid w:val="005F6AA0"/>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CA31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133"/>
  </w:style>
  <w:style w:type="paragraph" w:styleId="Footer">
    <w:name w:val="footer"/>
    <w:basedOn w:val="Normal"/>
    <w:link w:val="FooterChar"/>
    <w:uiPriority w:val="99"/>
    <w:unhideWhenUsed/>
    <w:rsid w:val="00CA31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133"/>
  </w:style>
  <w:style w:type="table" w:customStyle="1" w:styleId="TableGrid2">
    <w:name w:val="Table Grid2"/>
    <w:basedOn w:val="TableNormal"/>
    <w:next w:val="TableGrid"/>
    <w:uiPriority w:val="59"/>
    <w:rsid w:val="006B0123"/>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1">
    <w:name w:val="Heading 11"/>
    <w:basedOn w:val="Normal"/>
    <w:next w:val="Normal"/>
    <w:link w:val="Heading1Char"/>
    <w:uiPriority w:val="9"/>
    <w:qFormat/>
    <w:rsid w:val="005D2930"/>
    <w:pPr>
      <w:keepNext/>
      <w:keepLines/>
      <w:spacing w:before="240" w:after="0" w:line="259" w:lineRule="auto"/>
      <w:outlineLvl w:val="0"/>
    </w:pPr>
    <w:rPr>
      <w:rFonts w:ascii="Times New Roman" w:eastAsia="Times New Roman" w:hAnsi="Times New Roman" w:cs="Times New Roman"/>
      <w:color w:val="2E74B5"/>
      <w:sz w:val="32"/>
      <w:szCs w:val="32"/>
    </w:rPr>
  </w:style>
  <w:style w:type="paragraph" w:customStyle="1" w:styleId="Heading21">
    <w:name w:val="Heading 21"/>
    <w:basedOn w:val="Normal"/>
    <w:next w:val="Normal"/>
    <w:uiPriority w:val="9"/>
    <w:semiHidden/>
    <w:unhideWhenUsed/>
    <w:qFormat/>
    <w:rsid w:val="005D2930"/>
    <w:pPr>
      <w:keepNext/>
      <w:keepLines/>
      <w:spacing w:before="40" w:after="0" w:line="259" w:lineRule="auto"/>
      <w:outlineLvl w:val="1"/>
    </w:pPr>
    <w:rPr>
      <w:rFonts w:ascii="Times New Roman" w:eastAsia="Times New Roman" w:hAnsi="Times New Roman" w:cs="Times New Roman"/>
      <w:color w:val="2E74B5"/>
      <w:sz w:val="26"/>
      <w:szCs w:val="26"/>
    </w:rPr>
  </w:style>
  <w:style w:type="paragraph" w:customStyle="1" w:styleId="Heading41">
    <w:name w:val="Heading 41"/>
    <w:basedOn w:val="Normal"/>
    <w:next w:val="Normal"/>
    <w:uiPriority w:val="9"/>
    <w:semiHidden/>
    <w:unhideWhenUsed/>
    <w:qFormat/>
    <w:rsid w:val="005D2930"/>
    <w:pPr>
      <w:keepNext/>
      <w:keepLines/>
      <w:spacing w:before="40" w:after="0" w:line="259" w:lineRule="auto"/>
      <w:outlineLvl w:val="3"/>
    </w:pPr>
    <w:rPr>
      <w:rFonts w:ascii="Times New Roman" w:eastAsia="Times New Roman" w:hAnsi="Times New Roman" w:cs="Times New Roman"/>
      <w:i/>
      <w:iCs/>
      <w:color w:val="2E74B5"/>
    </w:rPr>
  </w:style>
  <w:style w:type="character" w:customStyle="1" w:styleId="Heading6Char">
    <w:name w:val="Heading 6 Char"/>
    <w:basedOn w:val="DefaultParagraphFont"/>
    <w:link w:val="Heading6"/>
    <w:uiPriority w:val="9"/>
    <w:rsid w:val="005D2930"/>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5D2930"/>
  </w:style>
  <w:style w:type="paragraph" w:styleId="BodyText">
    <w:name w:val="Body Text"/>
    <w:basedOn w:val="Normal"/>
    <w:link w:val="BodyTextChar"/>
    <w:uiPriority w:val="1"/>
    <w:qFormat/>
    <w:rsid w:val="005D2930"/>
    <w:pPr>
      <w:widowControl w:val="0"/>
      <w:autoSpaceDE w:val="0"/>
      <w:autoSpaceDN w:val="0"/>
      <w:spacing w:before="120" w:after="0" w:line="240" w:lineRule="auto"/>
      <w:ind w:left="161"/>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5D2930"/>
    <w:rPr>
      <w:rFonts w:ascii="Times New Roman" w:eastAsia="Times New Roman" w:hAnsi="Times New Roman" w:cs="Times New Roman"/>
      <w:sz w:val="28"/>
      <w:szCs w:val="28"/>
    </w:rPr>
  </w:style>
  <w:style w:type="character" w:customStyle="1" w:styleId="Hyperlink1">
    <w:name w:val="Hyperlink1"/>
    <w:basedOn w:val="DefaultParagraphFont"/>
    <w:uiPriority w:val="99"/>
    <w:unhideWhenUsed/>
    <w:rsid w:val="005D2930"/>
    <w:rPr>
      <w:color w:val="0563C1"/>
      <w:u w:val="single"/>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5D29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llowedHyperlink1">
    <w:name w:val="FollowedHyperlink1"/>
    <w:basedOn w:val="DefaultParagraphFont"/>
    <w:uiPriority w:val="99"/>
    <w:semiHidden/>
    <w:unhideWhenUsed/>
    <w:rsid w:val="005D2930"/>
    <w:rPr>
      <w:color w:val="954F72"/>
      <w:u w:val="single"/>
    </w:rPr>
  </w:style>
  <w:style w:type="paragraph" w:styleId="BalloonText">
    <w:name w:val="Balloon Text"/>
    <w:basedOn w:val="Normal"/>
    <w:link w:val="BalloonTextChar"/>
    <w:uiPriority w:val="99"/>
    <w:semiHidden/>
    <w:unhideWhenUsed/>
    <w:rsid w:val="005D29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930"/>
    <w:rPr>
      <w:rFonts w:ascii="Segoe UI" w:hAnsi="Segoe UI" w:cs="Segoe UI"/>
      <w:sz w:val="18"/>
      <w:szCs w:val="18"/>
    </w:rPr>
  </w:style>
  <w:style w:type="character" w:customStyle="1" w:styleId="hps">
    <w:name w:val="hps"/>
    <w:basedOn w:val="DefaultParagraphFont"/>
    <w:rsid w:val="005D2930"/>
  </w:style>
  <w:style w:type="character" w:customStyle="1" w:styleId="Heading1Char">
    <w:name w:val="Heading 1 Char"/>
    <w:basedOn w:val="DefaultParagraphFont"/>
    <w:link w:val="Heading11"/>
    <w:uiPriority w:val="9"/>
    <w:rsid w:val="005D2930"/>
    <w:rPr>
      <w:rFonts w:ascii="Times New Roman" w:eastAsia="Times New Roman" w:hAnsi="Times New Roman" w:cs="Times New Roman"/>
      <w:color w:val="2E74B5"/>
      <w:sz w:val="32"/>
      <w:szCs w:val="32"/>
    </w:rPr>
  </w:style>
  <w:style w:type="paragraph" w:styleId="TOC1">
    <w:name w:val="toc 1"/>
    <w:basedOn w:val="Normal"/>
    <w:next w:val="Normal"/>
    <w:autoRedefine/>
    <w:uiPriority w:val="39"/>
    <w:unhideWhenUsed/>
    <w:rsid w:val="005D2930"/>
    <w:pPr>
      <w:spacing w:after="100" w:line="259" w:lineRule="auto"/>
    </w:pPr>
  </w:style>
  <w:style w:type="paragraph" w:styleId="TOC2">
    <w:name w:val="toc 2"/>
    <w:basedOn w:val="Normal"/>
    <w:next w:val="Normal"/>
    <w:autoRedefine/>
    <w:uiPriority w:val="39"/>
    <w:unhideWhenUsed/>
    <w:rsid w:val="005D2930"/>
    <w:pPr>
      <w:tabs>
        <w:tab w:val="right" w:leader="dot" w:pos="9170"/>
      </w:tabs>
      <w:spacing w:after="0" w:line="360" w:lineRule="auto"/>
      <w:ind w:left="220"/>
    </w:pPr>
  </w:style>
  <w:style w:type="paragraph" w:styleId="TOC3">
    <w:name w:val="toc 3"/>
    <w:basedOn w:val="Normal"/>
    <w:next w:val="Normal"/>
    <w:autoRedefine/>
    <w:uiPriority w:val="39"/>
    <w:unhideWhenUsed/>
    <w:rsid w:val="005D2930"/>
    <w:pPr>
      <w:tabs>
        <w:tab w:val="right" w:leader="dot" w:pos="9170"/>
      </w:tabs>
      <w:spacing w:after="0" w:line="360" w:lineRule="auto"/>
      <w:ind w:left="440"/>
    </w:pPr>
    <w:rPr>
      <w:rFonts w:ascii="Times New Roman" w:hAnsi="Times New Roman" w:cs="Times New Roman"/>
      <w:noProof/>
      <w:spacing w:val="4"/>
      <w:sz w:val="28"/>
      <w:szCs w:val="28"/>
    </w:rPr>
  </w:style>
  <w:style w:type="character" w:customStyle="1" w:styleId="Heading4Char">
    <w:name w:val="Heading 4 Char"/>
    <w:basedOn w:val="DefaultParagraphFont"/>
    <w:link w:val="Heading4"/>
    <w:uiPriority w:val="9"/>
    <w:semiHidden/>
    <w:rsid w:val="005D2930"/>
    <w:rPr>
      <w:rFonts w:ascii="Times New Roman" w:eastAsia="Times New Roman" w:hAnsi="Times New Roman" w:cs="Times New Roman"/>
      <w:i/>
      <w:iCs/>
      <w:color w:val="2E74B5"/>
    </w:rPr>
  </w:style>
  <w:style w:type="character" w:customStyle="1" w:styleId="Heading2Char">
    <w:name w:val="Heading 2 Char"/>
    <w:basedOn w:val="DefaultParagraphFont"/>
    <w:link w:val="Heading2"/>
    <w:uiPriority w:val="9"/>
    <w:semiHidden/>
    <w:rsid w:val="005D2930"/>
    <w:rPr>
      <w:rFonts w:ascii="Times New Roman" w:eastAsia="Times New Roman" w:hAnsi="Times New Roman" w:cs="Times New Roman"/>
      <w:color w:val="2E74B5"/>
      <w:sz w:val="26"/>
      <w:szCs w:val="26"/>
    </w:rPr>
  </w:style>
  <w:style w:type="character" w:customStyle="1" w:styleId="Heading1Char1">
    <w:name w:val="Heading 1 Char1"/>
    <w:basedOn w:val="DefaultParagraphFont"/>
    <w:link w:val="Heading1"/>
    <w:uiPriority w:val="9"/>
    <w:rsid w:val="005D293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5D2930"/>
    <w:pPr>
      <w:spacing w:before="240" w:line="259" w:lineRule="auto"/>
      <w:outlineLvl w:val="9"/>
    </w:pPr>
    <w:rPr>
      <w:b w:val="0"/>
      <w:bCs w:val="0"/>
      <w:sz w:val="32"/>
      <w:szCs w:val="32"/>
    </w:rPr>
  </w:style>
  <w:style w:type="paragraph" w:styleId="TOC4">
    <w:name w:val="toc 4"/>
    <w:basedOn w:val="Normal"/>
    <w:next w:val="Normal"/>
    <w:autoRedefine/>
    <w:uiPriority w:val="39"/>
    <w:unhideWhenUsed/>
    <w:rsid w:val="005D2930"/>
    <w:pPr>
      <w:spacing w:after="100" w:line="259" w:lineRule="auto"/>
      <w:ind w:left="660"/>
    </w:pPr>
  </w:style>
  <w:style w:type="paragraph" w:customStyle="1" w:styleId="TOC51">
    <w:name w:val="TOC 51"/>
    <w:basedOn w:val="Normal"/>
    <w:next w:val="Normal"/>
    <w:autoRedefine/>
    <w:uiPriority w:val="39"/>
    <w:unhideWhenUsed/>
    <w:rsid w:val="005D2930"/>
    <w:pPr>
      <w:spacing w:after="100" w:line="259" w:lineRule="auto"/>
      <w:ind w:left="880"/>
    </w:pPr>
    <w:rPr>
      <w:rFonts w:eastAsia="Times New Roman"/>
    </w:rPr>
  </w:style>
  <w:style w:type="paragraph" w:customStyle="1" w:styleId="TOC61">
    <w:name w:val="TOC 61"/>
    <w:basedOn w:val="Normal"/>
    <w:next w:val="Normal"/>
    <w:autoRedefine/>
    <w:uiPriority w:val="39"/>
    <w:unhideWhenUsed/>
    <w:rsid w:val="005D2930"/>
    <w:pPr>
      <w:spacing w:after="100" w:line="259" w:lineRule="auto"/>
      <w:ind w:left="1100"/>
    </w:pPr>
    <w:rPr>
      <w:rFonts w:eastAsia="Times New Roman"/>
    </w:rPr>
  </w:style>
  <w:style w:type="paragraph" w:customStyle="1" w:styleId="TOC71">
    <w:name w:val="TOC 71"/>
    <w:basedOn w:val="Normal"/>
    <w:next w:val="Normal"/>
    <w:autoRedefine/>
    <w:uiPriority w:val="39"/>
    <w:unhideWhenUsed/>
    <w:rsid w:val="005D2930"/>
    <w:pPr>
      <w:spacing w:after="100" w:line="259" w:lineRule="auto"/>
      <w:ind w:left="1320"/>
    </w:pPr>
    <w:rPr>
      <w:rFonts w:eastAsia="Times New Roman"/>
    </w:rPr>
  </w:style>
  <w:style w:type="paragraph" w:customStyle="1" w:styleId="TOC81">
    <w:name w:val="TOC 81"/>
    <w:basedOn w:val="Normal"/>
    <w:next w:val="Normal"/>
    <w:autoRedefine/>
    <w:uiPriority w:val="39"/>
    <w:unhideWhenUsed/>
    <w:rsid w:val="005D2930"/>
    <w:pPr>
      <w:spacing w:after="100" w:line="259" w:lineRule="auto"/>
      <w:ind w:left="1540"/>
    </w:pPr>
    <w:rPr>
      <w:rFonts w:eastAsia="Times New Roman"/>
    </w:rPr>
  </w:style>
  <w:style w:type="paragraph" w:customStyle="1" w:styleId="TOC91">
    <w:name w:val="TOC 91"/>
    <w:basedOn w:val="Normal"/>
    <w:next w:val="Normal"/>
    <w:autoRedefine/>
    <w:uiPriority w:val="39"/>
    <w:unhideWhenUsed/>
    <w:rsid w:val="005D2930"/>
    <w:pPr>
      <w:spacing w:after="100" w:line="259" w:lineRule="auto"/>
      <w:ind w:left="1760"/>
    </w:pPr>
    <w:rPr>
      <w:rFonts w:eastAsia="Times New Roman"/>
    </w:rPr>
  </w:style>
  <w:style w:type="character" w:styleId="CommentReference">
    <w:name w:val="annotation reference"/>
    <w:basedOn w:val="DefaultParagraphFont"/>
    <w:uiPriority w:val="99"/>
    <w:semiHidden/>
    <w:unhideWhenUsed/>
    <w:rsid w:val="005D2930"/>
    <w:rPr>
      <w:sz w:val="16"/>
      <w:szCs w:val="16"/>
    </w:rPr>
  </w:style>
  <w:style w:type="paragraph" w:styleId="CommentText">
    <w:name w:val="annotation text"/>
    <w:basedOn w:val="Normal"/>
    <w:link w:val="CommentTextChar"/>
    <w:uiPriority w:val="99"/>
    <w:semiHidden/>
    <w:unhideWhenUsed/>
    <w:rsid w:val="005D2930"/>
    <w:pPr>
      <w:spacing w:line="240" w:lineRule="auto"/>
    </w:pPr>
    <w:rPr>
      <w:sz w:val="20"/>
      <w:szCs w:val="20"/>
      <w:lang w:val="vi-VN"/>
    </w:rPr>
  </w:style>
  <w:style w:type="character" w:customStyle="1" w:styleId="CommentTextChar">
    <w:name w:val="Comment Text Char"/>
    <w:basedOn w:val="DefaultParagraphFont"/>
    <w:link w:val="CommentText"/>
    <w:uiPriority w:val="99"/>
    <w:semiHidden/>
    <w:rsid w:val="005D2930"/>
    <w:rPr>
      <w:sz w:val="20"/>
      <w:szCs w:val="20"/>
      <w:lang w:val="vi-VN"/>
    </w:rPr>
  </w:style>
  <w:style w:type="character" w:customStyle="1" w:styleId="apple-converted-space">
    <w:name w:val="apple-converted-space"/>
    <w:basedOn w:val="DefaultParagraphFont"/>
    <w:rsid w:val="005D2930"/>
  </w:style>
  <w:style w:type="character" w:customStyle="1" w:styleId="y2iqfc">
    <w:name w:val="y2iqfc"/>
    <w:basedOn w:val="DefaultParagraphFont"/>
    <w:rsid w:val="005D2930"/>
  </w:style>
  <w:style w:type="table" w:customStyle="1" w:styleId="TableGrid3">
    <w:name w:val="Table Grid3"/>
    <w:basedOn w:val="TableNormal"/>
    <w:next w:val="TableGrid"/>
    <w:uiPriority w:val="59"/>
    <w:rsid w:val="005D2930"/>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5D293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D2930"/>
    <w:rPr>
      <w:color w:val="0000FF" w:themeColor="hyperlink"/>
      <w:u w:val="single"/>
    </w:rPr>
  </w:style>
  <w:style w:type="character" w:styleId="FollowedHyperlink">
    <w:name w:val="FollowedHyperlink"/>
    <w:basedOn w:val="DefaultParagraphFont"/>
    <w:uiPriority w:val="99"/>
    <w:semiHidden/>
    <w:unhideWhenUsed/>
    <w:rsid w:val="005D2930"/>
    <w:rPr>
      <w:color w:val="800080" w:themeColor="followedHyperlink"/>
      <w:u w:val="single"/>
    </w:rPr>
  </w:style>
  <w:style w:type="character" w:customStyle="1" w:styleId="Heading4Char1">
    <w:name w:val="Heading 4 Char1"/>
    <w:basedOn w:val="DefaultParagraphFont"/>
    <w:uiPriority w:val="9"/>
    <w:semiHidden/>
    <w:rsid w:val="005D2930"/>
    <w:rPr>
      <w:rFonts w:asciiTheme="majorHAnsi" w:eastAsiaTheme="majorEastAsia" w:hAnsiTheme="majorHAnsi" w:cstheme="majorBidi"/>
      <w:b/>
      <w:bCs/>
      <w:i/>
      <w:iCs/>
      <w:color w:val="4F81BD" w:themeColor="accent1"/>
    </w:rPr>
  </w:style>
  <w:style w:type="character" w:customStyle="1" w:styleId="Heading2Char1">
    <w:name w:val="Heading 2 Char1"/>
    <w:basedOn w:val="DefaultParagraphFont"/>
    <w:uiPriority w:val="9"/>
    <w:semiHidden/>
    <w:rsid w:val="005D2930"/>
    <w:rPr>
      <w:rFonts w:asciiTheme="majorHAnsi" w:eastAsiaTheme="majorEastAsia" w:hAnsiTheme="majorHAnsi" w:cstheme="majorBidi"/>
      <w:b/>
      <w:bCs/>
      <w:color w:val="4F81BD" w:themeColor="accent1"/>
      <w:sz w:val="26"/>
      <w:szCs w:val="26"/>
    </w:rPr>
  </w:style>
  <w:style w:type="numbering" w:customStyle="1" w:styleId="NoList2">
    <w:name w:val="No List2"/>
    <w:next w:val="NoList"/>
    <w:uiPriority w:val="99"/>
    <w:semiHidden/>
    <w:unhideWhenUsed/>
    <w:rsid w:val="00A735F3"/>
  </w:style>
  <w:style w:type="paragraph" w:customStyle="1" w:styleId="TOC52">
    <w:name w:val="TOC 52"/>
    <w:basedOn w:val="Normal"/>
    <w:next w:val="Normal"/>
    <w:autoRedefine/>
    <w:uiPriority w:val="39"/>
    <w:unhideWhenUsed/>
    <w:rsid w:val="00A735F3"/>
    <w:pPr>
      <w:spacing w:after="100" w:line="259" w:lineRule="auto"/>
      <w:ind w:left="880"/>
    </w:pPr>
    <w:rPr>
      <w:rFonts w:eastAsia="Times New Roman"/>
    </w:rPr>
  </w:style>
  <w:style w:type="paragraph" w:customStyle="1" w:styleId="TOC62">
    <w:name w:val="TOC 62"/>
    <w:basedOn w:val="Normal"/>
    <w:next w:val="Normal"/>
    <w:autoRedefine/>
    <w:uiPriority w:val="39"/>
    <w:unhideWhenUsed/>
    <w:rsid w:val="00A735F3"/>
    <w:pPr>
      <w:spacing w:after="100" w:line="259" w:lineRule="auto"/>
      <w:ind w:left="1100"/>
    </w:pPr>
    <w:rPr>
      <w:rFonts w:eastAsia="Times New Roman"/>
    </w:rPr>
  </w:style>
  <w:style w:type="paragraph" w:customStyle="1" w:styleId="TOC72">
    <w:name w:val="TOC 72"/>
    <w:basedOn w:val="Normal"/>
    <w:next w:val="Normal"/>
    <w:autoRedefine/>
    <w:uiPriority w:val="39"/>
    <w:unhideWhenUsed/>
    <w:rsid w:val="00A735F3"/>
    <w:pPr>
      <w:spacing w:after="100" w:line="259" w:lineRule="auto"/>
      <w:ind w:left="1320"/>
    </w:pPr>
    <w:rPr>
      <w:rFonts w:eastAsia="Times New Roman"/>
    </w:rPr>
  </w:style>
  <w:style w:type="paragraph" w:customStyle="1" w:styleId="TOC82">
    <w:name w:val="TOC 82"/>
    <w:basedOn w:val="Normal"/>
    <w:next w:val="Normal"/>
    <w:autoRedefine/>
    <w:uiPriority w:val="39"/>
    <w:unhideWhenUsed/>
    <w:rsid w:val="00A735F3"/>
    <w:pPr>
      <w:spacing w:after="100" w:line="259" w:lineRule="auto"/>
      <w:ind w:left="1540"/>
    </w:pPr>
    <w:rPr>
      <w:rFonts w:eastAsia="Times New Roman"/>
    </w:rPr>
  </w:style>
  <w:style w:type="paragraph" w:customStyle="1" w:styleId="TOC92">
    <w:name w:val="TOC 92"/>
    <w:basedOn w:val="Normal"/>
    <w:next w:val="Normal"/>
    <w:autoRedefine/>
    <w:uiPriority w:val="39"/>
    <w:unhideWhenUsed/>
    <w:rsid w:val="00A735F3"/>
    <w:pPr>
      <w:spacing w:after="100" w:line="259" w:lineRule="auto"/>
      <w:ind w:left="1760"/>
    </w:pPr>
    <w:rPr>
      <w:rFonts w:eastAsia="Times New Roman"/>
    </w:rPr>
  </w:style>
  <w:style w:type="table" w:customStyle="1" w:styleId="TableGrid4">
    <w:name w:val="Table Grid4"/>
    <w:basedOn w:val="TableNormal"/>
    <w:next w:val="TableGrid"/>
    <w:uiPriority w:val="59"/>
    <w:rsid w:val="00A735F3"/>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E3B2F"/>
    <w:pPr>
      <w:spacing w:after="0" w:line="240" w:lineRule="auto"/>
      <w:ind w:firstLine="7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DE3B2F"/>
    <w:pPr>
      <w:spacing w:after="0" w:line="240" w:lineRule="auto"/>
      <w:ind w:firstLine="7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433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E0177C"/>
    <w:pPr>
      <w:pBdr>
        <w:top w:val="nil"/>
        <w:left w:val="nil"/>
        <w:bottom w:val="nil"/>
        <w:right w:val="nil"/>
        <w:between w:val="nil"/>
        <w:bar w:val="nil"/>
      </w:pBdr>
      <w:spacing w:after="0" w:line="240" w:lineRule="auto"/>
    </w:pPr>
    <w:rPr>
      <w:rFonts w:ascii="Times New Roman" w:eastAsia="Times New Roman" w:hAnsi="Times New Roman" w:cs="Times New Roman"/>
      <w:sz w:val="20"/>
      <w:szCs w:val="20"/>
      <w:bdr w:val="nil"/>
      <w:lang w:eastAsia="ko-KR"/>
    </w:rPr>
    <w:tblPr>
      <w:tblInd w:w="0" w:type="dxa"/>
      <w:tblCellMar>
        <w:top w:w="0" w:type="dxa"/>
        <w:left w:w="0" w:type="dxa"/>
        <w:bottom w:w="0" w:type="dxa"/>
        <w:right w:w="0" w:type="dxa"/>
      </w:tblCellMar>
    </w:tblPr>
  </w:style>
  <w:style w:type="table" w:customStyle="1" w:styleId="TableGrid5">
    <w:name w:val="Table Grid5"/>
    <w:basedOn w:val="TableNormal"/>
    <w:next w:val="TableGrid"/>
    <w:uiPriority w:val="59"/>
    <w:rsid w:val="006A18D8"/>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CD4C7B"/>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9F1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F16B7"/>
    <w:rPr>
      <w:rFonts w:ascii="Courier New" w:eastAsia="Times New Roman" w:hAnsi="Courier New" w:cs="Courier New"/>
      <w:sz w:val="20"/>
      <w:szCs w:val="20"/>
    </w:rPr>
  </w:style>
  <w:style w:type="paragraph" w:styleId="CommentSubject">
    <w:name w:val="annotation subject"/>
    <w:basedOn w:val="CommentText"/>
    <w:next w:val="CommentText"/>
    <w:link w:val="CommentSubjectChar"/>
    <w:uiPriority w:val="99"/>
    <w:semiHidden/>
    <w:unhideWhenUsed/>
    <w:rsid w:val="004B41AF"/>
    <w:rPr>
      <w:b/>
      <w:bCs/>
      <w:lang w:val="en-US"/>
    </w:rPr>
  </w:style>
  <w:style w:type="character" w:customStyle="1" w:styleId="CommentSubjectChar">
    <w:name w:val="Comment Subject Char"/>
    <w:basedOn w:val="CommentTextChar"/>
    <w:link w:val="CommentSubject"/>
    <w:uiPriority w:val="99"/>
    <w:semiHidden/>
    <w:rsid w:val="004B41AF"/>
    <w:rPr>
      <w:b/>
      <w:bCs/>
      <w:sz w:val="20"/>
      <w:szCs w:val="20"/>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1"/>
    <w:uiPriority w:val="9"/>
    <w:qFormat/>
    <w:rsid w:val="005D29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D2930"/>
    <w:pPr>
      <w:keepNext/>
      <w:keepLines/>
      <w:spacing w:before="200" w:after="0"/>
      <w:outlineLvl w:val="1"/>
    </w:pPr>
    <w:rPr>
      <w:rFonts w:ascii="Times New Roman" w:eastAsia="Times New Roman" w:hAnsi="Times New Roman" w:cs="Times New Roman"/>
      <w:color w:val="2E74B5"/>
      <w:sz w:val="26"/>
      <w:szCs w:val="26"/>
    </w:rPr>
  </w:style>
  <w:style w:type="paragraph" w:styleId="Heading3">
    <w:name w:val="heading 3"/>
    <w:basedOn w:val="Normal"/>
    <w:next w:val="Normal"/>
    <w:link w:val="Heading3Char"/>
    <w:uiPriority w:val="9"/>
    <w:unhideWhenUsed/>
    <w:qFormat/>
    <w:rsid w:val="005F6AA0"/>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5D2930"/>
    <w:pPr>
      <w:keepNext/>
      <w:keepLines/>
      <w:spacing w:before="200" w:after="0"/>
      <w:outlineLvl w:val="3"/>
    </w:pPr>
    <w:rPr>
      <w:rFonts w:ascii="Times New Roman" w:eastAsia="Times New Roman" w:hAnsi="Times New Roman" w:cs="Times New Roman"/>
      <w:i/>
      <w:iCs/>
      <w:color w:val="2E74B5"/>
    </w:rPr>
  </w:style>
  <w:style w:type="paragraph" w:styleId="Heading6">
    <w:name w:val="heading 6"/>
    <w:basedOn w:val="Normal"/>
    <w:link w:val="Heading6Char"/>
    <w:uiPriority w:val="9"/>
    <w:qFormat/>
    <w:rsid w:val="005D293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B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4774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A03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0330"/>
    <w:rPr>
      <w:sz w:val="20"/>
      <w:szCs w:val="20"/>
    </w:rPr>
  </w:style>
  <w:style w:type="character" w:styleId="FootnoteReference">
    <w:name w:val="footnote reference"/>
    <w:basedOn w:val="DefaultParagraphFont"/>
    <w:uiPriority w:val="99"/>
    <w:semiHidden/>
    <w:unhideWhenUsed/>
    <w:rsid w:val="008A0330"/>
    <w:rPr>
      <w:vertAlign w:val="superscript"/>
    </w:rPr>
  </w:style>
  <w:style w:type="paragraph" w:styleId="ListParagraph">
    <w:name w:val="List Paragraph"/>
    <w:basedOn w:val="Normal"/>
    <w:uiPriority w:val="34"/>
    <w:qFormat/>
    <w:rsid w:val="008A0330"/>
    <w:pPr>
      <w:ind w:left="720"/>
      <w:contextualSpacing/>
    </w:pPr>
  </w:style>
  <w:style w:type="character" w:customStyle="1" w:styleId="Heading3Char">
    <w:name w:val="Heading 3 Char"/>
    <w:basedOn w:val="DefaultParagraphFont"/>
    <w:link w:val="Heading3"/>
    <w:uiPriority w:val="9"/>
    <w:rsid w:val="005F6AA0"/>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CA31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133"/>
  </w:style>
  <w:style w:type="paragraph" w:styleId="Footer">
    <w:name w:val="footer"/>
    <w:basedOn w:val="Normal"/>
    <w:link w:val="FooterChar"/>
    <w:uiPriority w:val="99"/>
    <w:unhideWhenUsed/>
    <w:rsid w:val="00CA31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133"/>
  </w:style>
  <w:style w:type="table" w:customStyle="1" w:styleId="TableGrid2">
    <w:name w:val="Table Grid2"/>
    <w:basedOn w:val="TableNormal"/>
    <w:next w:val="TableGrid"/>
    <w:uiPriority w:val="59"/>
    <w:rsid w:val="006B0123"/>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1">
    <w:name w:val="Heading 11"/>
    <w:basedOn w:val="Normal"/>
    <w:next w:val="Normal"/>
    <w:link w:val="Heading1Char"/>
    <w:uiPriority w:val="9"/>
    <w:qFormat/>
    <w:rsid w:val="005D2930"/>
    <w:pPr>
      <w:keepNext/>
      <w:keepLines/>
      <w:spacing w:before="240" w:after="0" w:line="259" w:lineRule="auto"/>
      <w:outlineLvl w:val="0"/>
    </w:pPr>
    <w:rPr>
      <w:rFonts w:ascii="Times New Roman" w:eastAsia="Times New Roman" w:hAnsi="Times New Roman" w:cs="Times New Roman"/>
      <w:color w:val="2E74B5"/>
      <w:sz w:val="32"/>
      <w:szCs w:val="32"/>
    </w:rPr>
  </w:style>
  <w:style w:type="paragraph" w:customStyle="1" w:styleId="Heading21">
    <w:name w:val="Heading 21"/>
    <w:basedOn w:val="Normal"/>
    <w:next w:val="Normal"/>
    <w:uiPriority w:val="9"/>
    <w:semiHidden/>
    <w:unhideWhenUsed/>
    <w:qFormat/>
    <w:rsid w:val="005D2930"/>
    <w:pPr>
      <w:keepNext/>
      <w:keepLines/>
      <w:spacing w:before="40" w:after="0" w:line="259" w:lineRule="auto"/>
      <w:outlineLvl w:val="1"/>
    </w:pPr>
    <w:rPr>
      <w:rFonts w:ascii="Times New Roman" w:eastAsia="Times New Roman" w:hAnsi="Times New Roman" w:cs="Times New Roman"/>
      <w:color w:val="2E74B5"/>
      <w:sz w:val="26"/>
      <w:szCs w:val="26"/>
    </w:rPr>
  </w:style>
  <w:style w:type="paragraph" w:customStyle="1" w:styleId="Heading41">
    <w:name w:val="Heading 41"/>
    <w:basedOn w:val="Normal"/>
    <w:next w:val="Normal"/>
    <w:uiPriority w:val="9"/>
    <w:semiHidden/>
    <w:unhideWhenUsed/>
    <w:qFormat/>
    <w:rsid w:val="005D2930"/>
    <w:pPr>
      <w:keepNext/>
      <w:keepLines/>
      <w:spacing w:before="40" w:after="0" w:line="259" w:lineRule="auto"/>
      <w:outlineLvl w:val="3"/>
    </w:pPr>
    <w:rPr>
      <w:rFonts w:ascii="Times New Roman" w:eastAsia="Times New Roman" w:hAnsi="Times New Roman" w:cs="Times New Roman"/>
      <w:i/>
      <w:iCs/>
      <w:color w:val="2E74B5"/>
    </w:rPr>
  </w:style>
  <w:style w:type="character" w:customStyle="1" w:styleId="Heading6Char">
    <w:name w:val="Heading 6 Char"/>
    <w:basedOn w:val="DefaultParagraphFont"/>
    <w:link w:val="Heading6"/>
    <w:uiPriority w:val="9"/>
    <w:rsid w:val="005D2930"/>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5D2930"/>
  </w:style>
  <w:style w:type="paragraph" w:styleId="BodyText">
    <w:name w:val="Body Text"/>
    <w:basedOn w:val="Normal"/>
    <w:link w:val="BodyTextChar"/>
    <w:uiPriority w:val="1"/>
    <w:qFormat/>
    <w:rsid w:val="005D2930"/>
    <w:pPr>
      <w:widowControl w:val="0"/>
      <w:autoSpaceDE w:val="0"/>
      <w:autoSpaceDN w:val="0"/>
      <w:spacing w:before="120" w:after="0" w:line="240" w:lineRule="auto"/>
      <w:ind w:left="161"/>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5D2930"/>
    <w:rPr>
      <w:rFonts w:ascii="Times New Roman" w:eastAsia="Times New Roman" w:hAnsi="Times New Roman" w:cs="Times New Roman"/>
      <w:sz w:val="28"/>
      <w:szCs w:val="28"/>
    </w:rPr>
  </w:style>
  <w:style w:type="character" w:customStyle="1" w:styleId="Hyperlink1">
    <w:name w:val="Hyperlink1"/>
    <w:basedOn w:val="DefaultParagraphFont"/>
    <w:uiPriority w:val="99"/>
    <w:unhideWhenUsed/>
    <w:rsid w:val="005D2930"/>
    <w:rPr>
      <w:color w:val="0563C1"/>
      <w:u w:val="single"/>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5D29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llowedHyperlink1">
    <w:name w:val="FollowedHyperlink1"/>
    <w:basedOn w:val="DefaultParagraphFont"/>
    <w:uiPriority w:val="99"/>
    <w:semiHidden/>
    <w:unhideWhenUsed/>
    <w:rsid w:val="005D2930"/>
    <w:rPr>
      <w:color w:val="954F72"/>
      <w:u w:val="single"/>
    </w:rPr>
  </w:style>
  <w:style w:type="paragraph" w:styleId="BalloonText">
    <w:name w:val="Balloon Text"/>
    <w:basedOn w:val="Normal"/>
    <w:link w:val="BalloonTextChar"/>
    <w:uiPriority w:val="99"/>
    <w:semiHidden/>
    <w:unhideWhenUsed/>
    <w:rsid w:val="005D29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930"/>
    <w:rPr>
      <w:rFonts w:ascii="Segoe UI" w:hAnsi="Segoe UI" w:cs="Segoe UI"/>
      <w:sz w:val="18"/>
      <w:szCs w:val="18"/>
    </w:rPr>
  </w:style>
  <w:style w:type="character" w:customStyle="1" w:styleId="hps">
    <w:name w:val="hps"/>
    <w:basedOn w:val="DefaultParagraphFont"/>
    <w:rsid w:val="005D2930"/>
  </w:style>
  <w:style w:type="character" w:customStyle="1" w:styleId="Heading1Char">
    <w:name w:val="Heading 1 Char"/>
    <w:basedOn w:val="DefaultParagraphFont"/>
    <w:link w:val="Heading11"/>
    <w:uiPriority w:val="9"/>
    <w:rsid w:val="005D2930"/>
    <w:rPr>
      <w:rFonts w:ascii="Times New Roman" w:eastAsia="Times New Roman" w:hAnsi="Times New Roman" w:cs="Times New Roman"/>
      <w:color w:val="2E74B5"/>
      <w:sz w:val="32"/>
      <w:szCs w:val="32"/>
    </w:rPr>
  </w:style>
  <w:style w:type="paragraph" w:styleId="TOC1">
    <w:name w:val="toc 1"/>
    <w:basedOn w:val="Normal"/>
    <w:next w:val="Normal"/>
    <w:autoRedefine/>
    <w:uiPriority w:val="39"/>
    <w:unhideWhenUsed/>
    <w:rsid w:val="005D2930"/>
    <w:pPr>
      <w:spacing w:after="100" w:line="259" w:lineRule="auto"/>
    </w:pPr>
  </w:style>
  <w:style w:type="paragraph" w:styleId="TOC2">
    <w:name w:val="toc 2"/>
    <w:basedOn w:val="Normal"/>
    <w:next w:val="Normal"/>
    <w:autoRedefine/>
    <w:uiPriority w:val="39"/>
    <w:unhideWhenUsed/>
    <w:rsid w:val="005D2930"/>
    <w:pPr>
      <w:tabs>
        <w:tab w:val="right" w:leader="dot" w:pos="9170"/>
      </w:tabs>
      <w:spacing w:after="0" w:line="360" w:lineRule="auto"/>
      <w:ind w:left="220"/>
    </w:pPr>
  </w:style>
  <w:style w:type="paragraph" w:styleId="TOC3">
    <w:name w:val="toc 3"/>
    <w:basedOn w:val="Normal"/>
    <w:next w:val="Normal"/>
    <w:autoRedefine/>
    <w:uiPriority w:val="39"/>
    <w:unhideWhenUsed/>
    <w:rsid w:val="005D2930"/>
    <w:pPr>
      <w:tabs>
        <w:tab w:val="right" w:leader="dot" w:pos="9170"/>
      </w:tabs>
      <w:spacing w:after="0" w:line="360" w:lineRule="auto"/>
      <w:ind w:left="440"/>
    </w:pPr>
    <w:rPr>
      <w:rFonts w:ascii="Times New Roman" w:hAnsi="Times New Roman" w:cs="Times New Roman"/>
      <w:noProof/>
      <w:spacing w:val="4"/>
      <w:sz w:val="28"/>
      <w:szCs w:val="28"/>
    </w:rPr>
  </w:style>
  <w:style w:type="character" w:customStyle="1" w:styleId="Heading4Char">
    <w:name w:val="Heading 4 Char"/>
    <w:basedOn w:val="DefaultParagraphFont"/>
    <w:link w:val="Heading4"/>
    <w:uiPriority w:val="9"/>
    <w:semiHidden/>
    <w:rsid w:val="005D2930"/>
    <w:rPr>
      <w:rFonts w:ascii="Times New Roman" w:eastAsia="Times New Roman" w:hAnsi="Times New Roman" w:cs="Times New Roman"/>
      <w:i/>
      <w:iCs/>
      <w:color w:val="2E74B5"/>
    </w:rPr>
  </w:style>
  <w:style w:type="character" w:customStyle="1" w:styleId="Heading2Char">
    <w:name w:val="Heading 2 Char"/>
    <w:basedOn w:val="DefaultParagraphFont"/>
    <w:link w:val="Heading2"/>
    <w:uiPriority w:val="9"/>
    <w:semiHidden/>
    <w:rsid w:val="005D2930"/>
    <w:rPr>
      <w:rFonts w:ascii="Times New Roman" w:eastAsia="Times New Roman" w:hAnsi="Times New Roman" w:cs="Times New Roman"/>
      <w:color w:val="2E74B5"/>
      <w:sz w:val="26"/>
      <w:szCs w:val="26"/>
    </w:rPr>
  </w:style>
  <w:style w:type="character" w:customStyle="1" w:styleId="Heading1Char1">
    <w:name w:val="Heading 1 Char1"/>
    <w:basedOn w:val="DefaultParagraphFont"/>
    <w:link w:val="Heading1"/>
    <w:uiPriority w:val="9"/>
    <w:rsid w:val="005D293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5D2930"/>
    <w:pPr>
      <w:spacing w:before="240" w:line="259" w:lineRule="auto"/>
      <w:outlineLvl w:val="9"/>
    </w:pPr>
    <w:rPr>
      <w:b w:val="0"/>
      <w:bCs w:val="0"/>
      <w:sz w:val="32"/>
      <w:szCs w:val="32"/>
    </w:rPr>
  </w:style>
  <w:style w:type="paragraph" w:styleId="TOC4">
    <w:name w:val="toc 4"/>
    <w:basedOn w:val="Normal"/>
    <w:next w:val="Normal"/>
    <w:autoRedefine/>
    <w:uiPriority w:val="39"/>
    <w:unhideWhenUsed/>
    <w:rsid w:val="005D2930"/>
    <w:pPr>
      <w:spacing w:after="100" w:line="259" w:lineRule="auto"/>
      <w:ind w:left="660"/>
    </w:pPr>
  </w:style>
  <w:style w:type="paragraph" w:customStyle="1" w:styleId="TOC51">
    <w:name w:val="TOC 51"/>
    <w:basedOn w:val="Normal"/>
    <w:next w:val="Normal"/>
    <w:autoRedefine/>
    <w:uiPriority w:val="39"/>
    <w:unhideWhenUsed/>
    <w:rsid w:val="005D2930"/>
    <w:pPr>
      <w:spacing w:after="100" w:line="259" w:lineRule="auto"/>
      <w:ind w:left="880"/>
    </w:pPr>
    <w:rPr>
      <w:rFonts w:eastAsia="Times New Roman"/>
    </w:rPr>
  </w:style>
  <w:style w:type="paragraph" w:customStyle="1" w:styleId="TOC61">
    <w:name w:val="TOC 61"/>
    <w:basedOn w:val="Normal"/>
    <w:next w:val="Normal"/>
    <w:autoRedefine/>
    <w:uiPriority w:val="39"/>
    <w:unhideWhenUsed/>
    <w:rsid w:val="005D2930"/>
    <w:pPr>
      <w:spacing w:after="100" w:line="259" w:lineRule="auto"/>
      <w:ind w:left="1100"/>
    </w:pPr>
    <w:rPr>
      <w:rFonts w:eastAsia="Times New Roman"/>
    </w:rPr>
  </w:style>
  <w:style w:type="paragraph" w:customStyle="1" w:styleId="TOC71">
    <w:name w:val="TOC 71"/>
    <w:basedOn w:val="Normal"/>
    <w:next w:val="Normal"/>
    <w:autoRedefine/>
    <w:uiPriority w:val="39"/>
    <w:unhideWhenUsed/>
    <w:rsid w:val="005D2930"/>
    <w:pPr>
      <w:spacing w:after="100" w:line="259" w:lineRule="auto"/>
      <w:ind w:left="1320"/>
    </w:pPr>
    <w:rPr>
      <w:rFonts w:eastAsia="Times New Roman"/>
    </w:rPr>
  </w:style>
  <w:style w:type="paragraph" w:customStyle="1" w:styleId="TOC81">
    <w:name w:val="TOC 81"/>
    <w:basedOn w:val="Normal"/>
    <w:next w:val="Normal"/>
    <w:autoRedefine/>
    <w:uiPriority w:val="39"/>
    <w:unhideWhenUsed/>
    <w:rsid w:val="005D2930"/>
    <w:pPr>
      <w:spacing w:after="100" w:line="259" w:lineRule="auto"/>
      <w:ind w:left="1540"/>
    </w:pPr>
    <w:rPr>
      <w:rFonts w:eastAsia="Times New Roman"/>
    </w:rPr>
  </w:style>
  <w:style w:type="paragraph" w:customStyle="1" w:styleId="TOC91">
    <w:name w:val="TOC 91"/>
    <w:basedOn w:val="Normal"/>
    <w:next w:val="Normal"/>
    <w:autoRedefine/>
    <w:uiPriority w:val="39"/>
    <w:unhideWhenUsed/>
    <w:rsid w:val="005D2930"/>
    <w:pPr>
      <w:spacing w:after="100" w:line="259" w:lineRule="auto"/>
      <w:ind w:left="1760"/>
    </w:pPr>
    <w:rPr>
      <w:rFonts w:eastAsia="Times New Roman"/>
    </w:rPr>
  </w:style>
  <w:style w:type="character" w:styleId="CommentReference">
    <w:name w:val="annotation reference"/>
    <w:basedOn w:val="DefaultParagraphFont"/>
    <w:uiPriority w:val="99"/>
    <w:semiHidden/>
    <w:unhideWhenUsed/>
    <w:rsid w:val="005D2930"/>
    <w:rPr>
      <w:sz w:val="16"/>
      <w:szCs w:val="16"/>
    </w:rPr>
  </w:style>
  <w:style w:type="paragraph" w:styleId="CommentText">
    <w:name w:val="annotation text"/>
    <w:basedOn w:val="Normal"/>
    <w:link w:val="CommentTextChar"/>
    <w:uiPriority w:val="99"/>
    <w:semiHidden/>
    <w:unhideWhenUsed/>
    <w:rsid w:val="005D2930"/>
    <w:pPr>
      <w:spacing w:line="240" w:lineRule="auto"/>
    </w:pPr>
    <w:rPr>
      <w:sz w:val="20"/>
      <w:szCs w:val="20"/>
      <w:lang w:val="vi-VN"/>
    </w:rPr>
  </w:style>
  <w:style w:type="character" w:customStyle="1" w:styleId="CommentTextChar">
    <w:name w:val="Comment Text Char"/>
    <w:basedOn w:val="DefaultParagraphFont"/>
    <w:link w:val="CommentText"/>
    <w:uiPriority w:val="99"/>
    <w:semiHidden/>
    <w:rsid w:val="005D2930"/>
    <w:rPr>
      <w:sz w:val="20"/>
      <w:szCs w:val="20"/>
      <w:lang w:val="vi-VN"/>
    </w:rPr>
  </w:style>
  <w:style w:type="character" w:customStyle="1" w:styleId="apple-converted-space">
    <w:name w:val="apple-converted-space"/>
    <w:basedOn w:val="DefaultParagraphFont"/>
    <w:rsid w:val="005D2930"/>
  </w:style>
  <w:style w:type="character" w:customStyle="1" w:styleId="y2iqfc">
    <w:name w:val="y2iqfc"/>
    <w:basedOn w:val="DefaultParagraphFont"/>
    <w:rsid w:val="005D2930"/>
  </w:style>
  <w:style w:type="table" w:customStyle="1" w:styleId="TableGrid3">
    <w:name w:val="Table Grid3"/>
    <w:basedOn w:val="TableNormal"/>
    <w:next w:val="TableGrid"/>
    <w:uiPriority w:val="59"/>
    <w:rsid w:val="005D2930"/>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5D293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D2930"/>
    <w:rPr>
      <w:color w:val="0000FF" w:themeColor="hyperlink"/>
      <w:u w:val="single"/>
    </w:rPr>
  </w:style>
  <w:style w:type="character" w:styleId="FollowedHyperlink">
    <w:name w:val="FollowedHyperlink"/>
    <w:basedOn w:val="DefaultParagraphFont"/>
    <w:uiPriority w:val="99"/>
    <w:semiHidden/>
    <w:unhideWhenUsed/>
    <w:rsid w:val="005D2930"/>
    <w:rPr>
      <w:color w:val="800080" w:themeColor="followedHyperlink"/>
      <w:u w:val="single"/>
    </w:rPr>
  </w:style>
  <w:style w:type="character" w:customStyle="1" w:styleId="Heading4Char1">
    <w:name w:val="Heading 4 Char1"/>
    <w:basedOn w:val="DefaultParagraphFont"/>
    <w:uiPriority w:val="9"/>
    <w:semiHidden/>
    <w:rsid w:val="005D2930"/>
    <w:rPr>
      <w:rFonts w:asciiTheme="majorHAnsi" w:eastAsiaTheme="majorEastAsia" w:hAnsiTheme="majorHAnsi" w:cstheme="majorBidi"/>
      <w:b/>
      <w:bCs/>
      <w:i/>
      <w:iCs/>
      <w:color w:val="4F81BD" w:themeColor="accent1"/>
    </w:rPr>
  </w:style>
  <w:style w:type="character" w:customStyle="1" w:styleId="Heading2Char1">
    <w:name w:val="Heading 2 Char1"/>
    <w:basedOn w:val="DefaultParagraphFont"/>
    <w:uiPriority w:val="9"/>
    <w:semiHidden/>
    <w:rsid w:val="005D2930"/>
    <w:rPr>
      <w:rFonts w:asciiTheme="majorHAnsi" w:eastAsiaTheme="majorEastAsia" w:hAnsiTheme="majorHAnsi" w:cstheme="majorBidi"/>
      <w:b/>
      <w:bCs/>
      <w:color w:val="4F81BD" w:themeColor="accent1"/>
      <w:sz w:val="26"/>
      <w:szCs w:val="26"/>
    </w:rPr>
  </w:style>
  <w:style w:type="numbering" w:customStyle="1" w:styleId="NoList2">
    <w:name w:val="No List2"/>
    <w:next w:val="NoList"/>
    <w:uiPriority w:val="99"/>
    <w:semiHidden/>
    <w:unhideWhenUsed/>
    <w:rsid w:val="00A735F3"/>
  </w:style>
  <w:style w:type="paragraph" w:customStyle="1" w:styleId="TOC52">
    <w:name w:val="TOC 52"/>
    <w:basedOn w:val="Normal"/>
    <w:next w:val="Normal"/>
    <w:autoRedefine/>
    <w:uiPriority w:val="39"/>
    <w:unhideWhenUsed/>
    <w:rsid w:val="00A735F3"/>
    <w:pPr>
      <w:spacing w:after="100" w:line="259" w:lineRule="auto"/>
      <w:ind w:left="880"/>
    </w:pPr>
    <w:rPr>
      <w:rFonts w:eastAsia="Times New Roman"/>
    </w:rPr>
  </w:style>
  <w:style w:type="paragraph" w:customStyle="1" w:styleId="TOC62">
    <w:name w:val="TOC 62"/>
    <w:basedOn w:val="Normal"/>
    <w:next w:val="Normal"/>
    <w:autoRedefine/>
    <w:uiPriority w:val="39"/>
    <w:unhideWhenUsed/>
    <w:rsid w:val="00A735F3"/>
    <w:pPr>
      <w:spacing w:after="100" w:line="259" w:lineRule="auto"/>
      <w:ind w:left="1100"/>
    </w:pPr>
    <w:rPr>
      <w:rFonts w:eastAsia="Times New Roman"/>
    </w:rPr>
  </w:style>
  <w:style w:type="paragraph" w:customStyle="1" w:styleId="TOC72">
    <w:name w:val="TOC 72"/>
    <w:basedOn w:val="Normal"/>
    <w:next w:val="Normal"/>
    <w:autoRedefine/>
    <w:uiPriority w:val="39"/>
    <w:unhideWhenUsed/>
    <w:rsid w:val="00A735F3"/>
    <w:pPr>
      <w:spacing w:after="100" w:line="259" w:lineRule="auto"/>
      <w:ind w:left="1320"/>
    </w:pPr>
    <w:rPr>
      <w:rFonts w:eastAsia="Times New Roman"/>
    </w:rPr>
  </w:style>
  <w:style w:type="paragraph" w:customStyle="1" w:styleId="TOC82">
    <w:name w:val="TOC 82"/>
    <w:basedOn w:val="Normal"/>
    <w:next w:val="Normal"/>
    <w:autoRedefine/>
    <w:uiPriority w:val="39"/>
    <w:unhideWhenUsed/>
    <w:rsid w:val="00A735F3"/>
    <w:pPr>
      <w:spacing w:after="100" w:line="259" w:lineRule="auto"/>
      <w:ind w:left="1540"/>
    </w:pPr>
    <w:rPr>
      <w:rFonts w:eastAsia="Times New Roman"/>
    </w:rPr>
  </w:style>
  <w:style w:type="paragraph" w:customStyle="1" w:styleId="TOC92">
    <w:name w:val="TOC 92"/>
    <w:basedOn w:val="Normal"/>
    <w:next w:val="Normal"/>
    <w:autoRedefine/>
    <w:uiPriority w:val="39"/>
    <w:unhideWhenUsed/>
    <w:rsid w:val="00A735F3"/>
    <w:pPr>
      <w:spacing w:after="100" w:line="259" w:lineRule="auto"/>
      <w:ind w:left="1760"/>
    </w:pPr>
    <w:rPr>
      <w:rFonts w:eastAsia="Times New Roman"/>
    </w:rPr>
  </w:style>
  <w:style w:type="table" w:customStyle="1" w:styleId="TableGrid4">
    <w:name w:val="Table Grid4"/>
    <w:basedOn w:val="TableNormal"/>
    <w:next w:val="TableGrid"/>
    <w:uiPriority w:val="59"/>
    <w:rsid w:val="00A735F3"/>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E3B2F"/>
    <w:pPr>
      <w:spacing w:after="0" w:line="240" w:lineRule="auto"/>
      <w:ind w:firstLine="7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DE3B2F"/>
    <w:pPr>
      <w:spacing w:after="0" w:line="240" w:lineRule="auto"/>
      <w:ind w:firstLine="7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433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E0177C"/>
    <w:pPr>
      <w:pBdr>
        <w:top w:val="nil"/>
        <w:left w:val="nil"/>
        <w:bottom w:val="nil"/>
        <w:right w:val="nil"/>
        <w:between w:val="nil"/>
        <w:bar w:val="nil"/>
      </w:pBdr>
      <w:spacing w:after="0" w:line="240" w:lineRule="auto"/>
    </w:pPr>
    <w:rPr>
      <w:rFonts w:ascii="Times New Roman" w:eastAsia="Times New Roman" w:hAnsi="Times New Roman" w:cs="Times New Roman"/>
      <w:sz w:val="20"/>
      <w:szCs w:val="20"/>
      <w:bdr w:val="nil"/>
      <w:lang w:eastAsia="ko-KR"/>
    </w:rPr>
    <w:tblPr>
      <w:tblInd w:w="0" w:type="dxa"/>
      <w:tblCellMar>
        <w:top w:w="0" w:type="dxa"/>
        <w:left w:w="0" w:type="dxa"/>
        <w:bottom w:w="0" w:type="dxa"/>
        <w:right w:w="0" w:type="dxa"/>
      </w:tblCellMar>
    </w:tblPr>
  </w:style>
  <w:style w:type="table" w:customStyle="1" w:styleId="TableGrid5">
    <w:name w:val="Table Grid5"/>
    <w:basedOn w:val="TableNormal"/>
    <w:next w:val="TableGrid"/>
    <w:uiPriority w:val="59"/>
    <w:rsid w:val="006A18D8"/>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CD4C7B"/>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9F1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F16B7"/>
    <w:rPr>
      <w:rFonts w:ascii="Courier New" w:eastAsia="Times New Roman" w:hAnsi="Courier New" w:cs="Courier New"/>
      <w:sz w:val="20"/>
      <w:szCs w:val="20"/>
    </w:rPr>
  </w:style>
  <w:style w:type="paragraph" w:styleId="CommentSubject">
    <w:name w:val="annotation subject"/>
    <w:basedOn w:val="CommentText"/>
    <w:next w:val="CommentText"/>
    <w:link w:val="CommentSubjectChar"/>
    <w:uiPriority w:val="99"/>
    <w:semiHidden/>
    <w:unhideWhenUsed/>
    <w:rsid w:val="004B41AF"/>
    <w:rPr>
      <w:b/>
      <w:bCs/>
      <w:lang w:val="en-US"/>
    </w:rPr>
  </w:style>
  <w:style w:type="character" w:customStyle="1" w:styleId="CommentSubjectChar">
    <w:name w:val="Comment Subject Char"/>
    <w:basedOn w:val="CommentTextChar"/>
    <w:link w:val="CommentSubject"/>
    <w:uiPriority w:val="99"/>
    <w:semiHidden/>
    <w:rsid w:val="004B41AF"/>
    <w:rPr>
      <w:b/>
      <w:bCs/>
      <w:sz w:val="20"/>
      <w:szCs w:val="20"/>
      <w:lang w:val="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E9C99-5C69-4973-8560-F8888E41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240</Pages>
  <Words>76358</Words>
  <Characters>435247</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Thuy Trang</dc:creator>
  <cp:lastModifiedBy>daothuhang</cp:lastModifiedBy>
  <cp:revision>5</cp:revision>
  <cp:lastPrinted>2021-08-27T07:55:00Z</cp:lastPrinted>
  <dcterms:created xsi:type="dcterms:W3CDTF">2021-06-14T09:23:00Z</dcterms:created>
  <dcterms:modified xsi:type="dcterms:W3CDTF">2021-08-27T10:43:00Z</dcterms:modified>
</cp:coreProperties>
</file>